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eastAsia="微软雅黑" w:ascii="微软雅黑" w:hAnsi="微软雅黑" w:cs="微软雅黑"/>
          <w:sz w:val="50"/>
          <w:szCs w:val="50"/>
          <w:b/>
          <w:bCs/>
        </w:rPr>
        <w:t>面向中小制造业的 AI 赋能培训项目</w:t>
      </w:r>
    </w:p>
    <w:p>
      <w:pPr/>
      <w:r>
        <w:rPr>
          <w:rFonts w:eastAsia="微软雅黑" w:ascii="微软雅黑" w:hAnsi="微软雅黑" w:cs="微软雅黑"/>
          <w:sz w:val="25"/>
          <w:szCs w:val="25"/>
          <w:b/>
          <w:bCs/>
        </w:rPr>
        <w:t>面向苏州制造业集群，提供 6 天 60 人的 AI 工具与 Agent 工程化实战训练</w:t>
      </w:r>
    </w:p>
    <w:p/>
    <w:p/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联友科技 × WorkBuddy 培训项目组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目录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一 立项结论与项目概述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二 行业环境与市场机会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三 目标用户与核心场景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四 产品与服务方案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五 技术架构与数据治理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六 商业模式与增长路径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七 市场进入与运营体系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八 组织配置与项目治理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九 投资预算与财务测算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十 实施计划与验收标准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十一 风险、合规与退出机制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十二 立项决策事项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附录 A 关键指标口径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附录 B 关键假设与待验证清单</w:t>
      </w:r>
    </w:p>
    <w:p>
      <w:pPr/>
      <w:r>
        <w:rPr>
          <w:rFonts w:eastAsia="微软雅黑" w:ascii="微软雅黑" w:hAnsi="微软雅黑" w:cs="微软雅黑"/>
          <w:sz w:val="21"/>
          <w:szCs w:val="21"/>
          <w:b/>
          <w:bCs/>
        </w:rPr>
        <w:t>附录 C 术语表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阅读提示：本报告用于演示立项报告生成 Skill 的实际效果。涉及市场规模、培训课时单价、转化率等数字均为演示假设，正式立项前应以客户调研、试点数据与财务测算为准。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一 立项结论与项目概述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1.1 执行摘要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本项目面向长三角中小制造业集群，由联友科技与 WorkBuddy 联合提供一套 3 期 6 天共 60 人的 AI 赋能培训。培训覆盖 AI 工具应用、智能体开发与 FDE 工程化三条主线，目标是把一线工程师与基层管理者培养成能在产线上独立交付 AI 工具的复合型人才。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以业务问题为入口：每个学员带着自己的产线场景进入培训，结业时交付可演示的 AI 原型。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工具-工程-业务三层递进：先用通用 AI 工具解决日常问题，再学智能体开发，最后进入 FDE 工程化。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可验证结业：每位学员产出至少 1 个真实场景的 AI 原型 + 1 套推广 SOP。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1.2 立项建议与决策边界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本次立项建议批准培训项目首期 6 天 60 人规模，建设期投入 220 万元，三期合计 660 万元。同时约定：当三期完训转化率高于 70% 时启动第二年扩围；反之，重新评估课程结构。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批准事项：3 期 6 天培训的实施权、首期 220 万元的预算、试点 5 家工厂的样本池。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不在本次范围：定制化 AI 模型训练、客户私有数据治理咨询、产线硬件改造。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扩围触发条件：完训转化率 ≥ 70%、学员产出 AI 原型可用率 ≥ 60%、客户复购意愿 ≥ 50%。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1.3 项目基本信息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[1.3 项目基本信息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1.4 关键成功条件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[1.4 关键成功条件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二 行业环境与市场机会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2.1 行业问题判断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[2.1 行业问题判断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2.2 外部趋势与机会窗口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[2.2 外部趋势与机会窗口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2.3 市场规模测算（演示口径）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[2.3 市场规模测算（演示口径）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2.4 竞争与替代关系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[2.4 竞争与替代关系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2.5 市场进入的基本判断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[2.5 市场进入的基本判断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三 目标用户与核心场景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3.1 用户分层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[3.1 用户分层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3.2 高价值场景优先级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[3.2 高价值场景优先级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3.3 典型用户旅程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[3.3 典型用户旅程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3.4 需求优先级判断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[3.4 需求优先级判断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四 产品与服务方案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4.1 产品定位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[4.1 产品定位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4.2 MVP 功能清单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[4.2 MVP 功能清单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4.3 服务标准与作业闭环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[4.3 服务标准与作业闭环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4.4 产品路线图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[4.4 产品路线图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五 技术架构与数据治理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5.1 总体架构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[5.1 总体架构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5.2 数据治理与隐私保护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[5.2 数据治理与隐私保护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5.3 非功能指标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[5.3 非功能指标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5.4 技术路线取舍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[5.4 技术路线取舍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六 商业模式与增长路径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6.1 收入结构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[6.1 收入结构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6.2 定价原则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[6.2 定价原则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6.3 单位经济模型（演示）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[6.3 单位经济模型（演示）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6.4 增长飞轮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[6.4 增长飞轮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七 市场进入与运营体系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7.1 试点进入策略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[7.1 试点进入策略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7.2 运营组织与 SOP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[7.2 运营组织与 SOP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7.3 核心运营指标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[7.3 核心运营指标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7.4 服务质量与供应商管理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[7.4 服务质量与供应商管理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八 组织配置与项目治理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8.1 建议组织结构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[8.1 建议组织结构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8.2 关键角色职责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[8.2 关键角色职责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8.3 治理节奏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[8.3 治理节奏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8.4 RACI 责任矩阵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[8.4 RACI 责任矩阵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九 投资预算与财务测算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9.1 建设预算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[9.1 建设预算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9.2 首年运营预算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[9.2 首年运营预算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9.3 三年收入与利润测算（演示）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[9.3 三年收入与利润测算（演示）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9.4 现金流与回收期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[9.4 现金流与回收期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9.5 敏感性分析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[9.5 敏感性分析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十 实施计划与验收标准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10.1 18 个月里程碑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[10.1 18 个月里程碑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10.2 阶段验收标准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[10.2 阶段验收标准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10.3 项目工作机制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[10.3 项目工作机制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十一 风险、合规与退出机制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11.1 风险矩阵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[11.1 风险矩阵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11.2 合规清单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[11.2 合规清单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11.3 退出与止损机制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[11.3 退出与止损机制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十二 立项决策事项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12.1 本次需要批准的事项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[12.1 本次需要批准的事项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12.2 立项后 30 天行动清单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[12.2 立项后 30 天行动清单 待补充：本节引出主题段落]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2"/>
      </w:pPr>
      <w:r>
        <w:rPr>
          <w:rFonts w:eastAsia="微软雅黑" w:ascii="微软雅黑" w:hAnsi="微软雅黑" w:cs="微软雅黑"/>
          <w:sz w:val="25"/>
          <w:szCs w:val="25"/>
          <w:b/>
          <w:bCs/>
        </w:rPr>
        <w:t>12.3 最终结论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建议批准本项目立项，将其定位为可复制的制造业 AI 人才赋能范式。培训重点不是工具清单，而是让学员带回一线、能在车间跑起来的 AI 工作流。三期完成后应形成可量化的人才转化数据，作为后续产品线与服务线的拓展依据。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1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2 条要点]</w:t>
      </w:r>
    </w:p>
    <w:p>
      <w:pPr>
        <w:pStyle w:val="ListBulle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[待补充：第 3 条要点]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附录 A 关键指标口径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[附录 A 关键指标口径 待补充]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附录 B 关键假设与待验证清单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[附录 B 关键假设与待验证清单 待补充]</w:t>
      </w:r>
    </w:p>
    <w:p>
      <w:pPr>
        <w:pStyle w:val="Heading1"/>
      </w:pPr>
      <w:r>
        <w:rPr>
          <w:rFonts w:eastAsia="微软雅黑" w:ascii="微软雅黑" w:hAnsi="微软雅黑" w:cs="微软雅黑"/>
          <w:sz w:val="30"/>
          <w:szCs w:val="30"/>
          <w:b/>
          <w:bCs/>
        </w:rPr>
        <w:t>附录 C 术语表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[附录 C 术语表 待补充]</w:t>
      </w:r>
    </w:p>
    <w:p>
      <w:pPr>
        <w:pStyle w:val="BodyText"/>
      </w:pPr>
      <w:r>
        <w:rPr>
          <w:rFonts w:eastAsia="微软雅黑" w:ascii="微软雅黑" w:hAnsi="微软雅黑" w:cs="微软雅黑"/>
          <w:sz w:val="21"/>
          <w:szCs w:val="21"/>
          <w:b/>
          <w:bCs/>
        </w:rPr>
        <w:t>文档说明：本报告为立项演示样稿。正式用于投资、采购、政府项目申报或对外承诺前，应由业务、财务、法务、信息安全和试点街道共同复核全部假设与指标。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