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eastAsia="微软雅黑" w:ascii="微软雅黑" w:hAnsi="微软雅黑" w:cs="微软雅黑"/>
          <w:sz w:val="50"/>
          <w:szCs w:val="50"/>
          <w:b/>
          <w:bCs/>
        </w:rPr>
        <w:t>【立项报告】项目名称待定</w:t>
      </w:r>
    </w:p>
    <w:p>
      <w:pPr/>
      <w:r>
        <w:rPr>
          <w:rFonts w:eastAsia="微软雅黑" w:ascii="微软雅黑" w:hAnsi="微软雅黑" w:cs="微软雅黑"/>
          <w:sz w:val="25"/>
          <w:szCs w:val="25"/>
          <w:b/>
          <w:bCs/>
        </w:rPr>
        <w:t>副标题待定</w:t>
      </w:r>
    </w:p>
    <w:p/>
    <w:p/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项目筹备组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目录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一 立项结论与项目概述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二 行业环境与市场机会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三 目标用户与核心场景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四 产品与服务方案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五 技术架构与数据治理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六 商业模式与增长路径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七 市场进入与运营体系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八 组织配置与项目治理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九 投资预算与财务测算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十 实施计划与验收标准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十一 风险、合规与退出机制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十二 立项决策事项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附录 A 关键指标口径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附录 B 关键假设与待验证清单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附录 C 术语表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阅读提示：本报告用于演示项目立项论证的完整结构。涉及市场规模、价格、转化率、成本和收入的数字均为演示假设值，正式立项前应以招标询价、用户访谈、试点数据和合规评估结果为准。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一 立项结论与项目概述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1.1 执行摘要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[1.1 执行摘要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1.2 立项建议与决策边界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[1.2 立项建议与决策边界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1.3 项目基本信息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[1.3 项目基本信息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1.4 关键成功条件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[1.4 关键成功条件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二 行业环境与市场机会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2.1 行业问题判断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[2.1 行业问题判断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2.2 外部趋势与机会窗口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[2.2 外部趋势与机会窗口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2.3 市场规模测算（演示口径）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[2.3 市场规模测算（演示口径）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2.4 竞争与替代关系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[2.4 竞争与替代关系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2.5 市场进入的基本判断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[2.5 市场进入的基本判断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三 目标用户与核心场景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3.1 用户分层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[3.1 用户分层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3.2 高价值场景优先级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[3.2 高价值场景优先级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3.3 典型用户旅程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[3.3 典型用户旅程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3.4 需求优先级判断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[3.4 需求优先级判断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四 产品与服务方案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4.1 产品定位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[4.1 产品定位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4.2 MVP 功能清单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[4.2 MVP 功能清单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4.3 服务标准与作业闭环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[4.3 服务标准与作业闭环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4.4 产品路线图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[4.4 产品路线图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五 技术架构与数据治理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5.1 总体架构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[5.1 总体架构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5.2 数据治理与隐私保护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[5.2 数据治理与隐私保护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5.3 非功能指标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[5.3 非功能指标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5.4 技术路线取舍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[5.4 技术路线取舍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六 商业模式与增长路径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6.1 收入结构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[6.1 收入结构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6.2 定价原则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[6.2 定价原则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6.3 单位经济模型（演示）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[6.3 单位经济模型（演示）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6.4 增长飞轮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[6.4 增长飞轮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七 市场进入与运营体系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7.1 试点进入策略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[7.1 试点进入策略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7.2 运营组织与 SOP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[7.2 运营组织与 SOP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7.3 核心运营指标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[7.3 核心运营指标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7.4 服务质量与供应商管理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[7.4 服务质量与供应商管理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八 组织配置与项目治理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8.1 建议组织结构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[8.1 建议组织结构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8.2 关键角色职责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[8.2 关键角色职责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8.3 治理节奏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[8.3 治理节奏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8.4 RACI 责任矩阵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[8.4 RACI 责任矩阵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九 投资预算与财务测算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9.1 建设预算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[9.1 建设预算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9.2 首年运营预算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[9.2 首年运营预算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9.3 三年收入与利润测算（演示）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[9.3 三年收入与利润测算（演示）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9.4 现金流与回收期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[9.4 现金流与回收期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9.5 敏感性分析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[9.5 敏感性分析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十 实施计划与验收标准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10.1 18 个月里程碑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[10.1 18 个月里程碑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10.2 阶段验收标准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[10.2 阶段验收标准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10.3 项目工作机制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[10.3 项目工作机制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十一 风险、合规与退出机制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11.1 风险矩阵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[11.1 风险矩阵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11.2 合规清单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[11.2 合规清单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11.3 退出与止损机制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[11.3 退出与止损机制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十二 立项决策事项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12.1 本次需要批准的事项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[12.1 本次需要批准的事项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12.2 立项后 30 天行动清单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[12.2 立项后 30 天行动清单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12.3 最终结论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[12.3 最终结论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附录 A 关键指标口径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[附录 A 关键指标口径 待补充]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附录 B 关键假设与待验证清单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[附录 B 关键假设与待验证清单 待补充]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附录 C 术语表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[附录 C 术语表 待补充]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文档说明：本报告为立项演示样稿。正式用于投资、采购、政府项目申报或对外承诺前，应由业务、财务、法务、信息安全和试点街道共同复核全部假设与指标。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