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32F0A4">
      <w:pPr>
        <w:pStyle w:val="31"/>
        <w:spacing w:before="1840" w:after="240"/>
        <w:jc w:val="center"/>
      </w:pPr>
      <w:r>
        <w:rPr>
          <w:rFonts w:ascii="微软雅黑" w:hAnsi="微软雅黑" w:eastAsia="微软雅黑"/>
          <w:b/>
          <w:i w:val="0"/>
          <w:color w:val="000000"/>
          <w:sz w:val="50"/>
        </w:rPr>
        <w:t>城市社区智慧养老服务平台</w:t>
      </w:r>
    </w:p>
    <w:p w14:paraId="4FBF7433">
      <w:pPr>
        <w:spacing w:before="480" w:after="1040"/>
        <w:jc w:val="center"/>
      </w:pPr>
      <w:bookmarkStart w:id="0" w:name="_GoBack"/>
      <w:bookmarkEnd w:id="0"/>
      <w:r>
        <w:rPr>
          <w:rFonts w:ascii="微软雅黑" w:hAnsi="微软雅黑" w:eastAsia="微软雅黑"/>
          <w:b/>
          <w:i w:val="0"/>
          <w:color w:val="17365D"/>
          <w:sz w:val="25"/>
        </w:rPr>
        <w:t>以社区为入口，连接家庭、服务机构与基层治理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6"/>
        <w:gridCol w:w="4706"/>
      </w:tblGrid>
      <w:tr w14:paraId="48D3B3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3D4D2D1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9"/>
              </w:rPr>
              <w:t>项目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EB326A7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9"/>
              </w:rPr>
              <w:t>内容</w:t>
            </w:r>
          </w:p>
        </w:tc>
      </w:tr>
      <w:tr w14:paraId="708D1B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A61FBA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/>
                <w:i w:val="0"/>
                <w:color w:val="000000"/>
                <w:sz w:val="19"/>
              </w:rPr>
              <w:t>报告用途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8CE45B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9"/>
              </w:rPr>
              <w:t>用于项目立项评审、试点授权与首期预算决策</w:t>
            </w:r>
          </w:p>
        </w:tc>
      </w:tr>
      <w:tr w14:paraId="0B260D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15D886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/>
                <w:i w:val="0"/>
                <w:color w:val="000000"/>
                <w:sz w:val="19"/>
              </w:rPr>
              <w:t>建议试点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D394FD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9"/>
              </w:rPr>
              <w:t>选择 2 个街道、8 个社区开展 6 个月验证</w:t>
            </w:r>
          </w:p>
        </w:tc>
      </w:tr>
      <w:tr w14:paraId="7E8004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AFF602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/>
                <w:i w:val="0"/>
                <w:color w:val="000000"/>
                <w:sz w:val="19"/>
              </w:rPr>
              <w:t>建设周期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8CA1B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9"/>
              </w:rPr>
              <w:t>18 个月，分为验证期、扩围期和规模化准备期</w:t>
            </w:r>
          </w:p>
        </w:tc>
      </w:tr>
      <w:tr w14:paraId="4C9F02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2A8C9C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/>
                <w:i w:val="0"/>
                <w:color w:val="000000"/>
                <w:sz w:val="19"/>
              </w:rPr>
              <w:t>测算口径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A70866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9"/>
              </w:rPr>
              <w:t>人民币，金额以“万元”计；市场与财务数据为演示假设</w:t>
            </w:r>
          </w:p>
        </w:tc>
      </w:tr>
      <w:tr w14:paraId="2A237A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9AD39B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/>
                <w:i w:val="0"/>
                <w:color w:val="000000"/>
                <w:sz w:val="19"/>
              </w:rPr>
              <w:t>版本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2EDBE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9"/>
              </w:rPr>
              <w:t>V1.0 · 2026 年 9 月</w:t>
            </w:r>
          </w:p>
        </w:tc>
      </w:tr>
    </w:tbl>
    <w:p w14:paraId="7ED3D093">
      <w:pPr>
        <w:spacing w:after="40"/>
      </w:pPr>
    </w:p>
    <w:p w14:paraId="5E5DD8CA">
      <w:pPr>
        <w:spacing w:before="1100"/>
        <w:jc w:val="center"/>
      </w:pPr>
      <w:r>
        <w:rPr>
          <w:rFonts w:ascii="微软雅黑" w:hAnsi="微软雅黑" w:eastAsia="微软雅黑"/>
          <w:b w:val="0"/>
          <w:i w:val="0"/>
          <w:color w:val="666666"/>
          <w:sz w:val="21"/>
        </w:rPr>
        <w:t>项目筹备组</w:t>
      </w:r>
    </w:p>
    <w:p w14:paraId="314413ED">
      <w:r>
        <w:br w:type="page"/>
      </w:r>
    </w:p>
    <w:p w14:paraId="1CE4D7C7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目录</w:t>
      </w:r>
    </w:p>
    <w:p w14:paraId="34A66EF4">
      <w:pPr>
        <w:spacing w:after="80"/>
        <w:ind w:left="170"/>
      </w:pPr>
      <w:r>
        <w:rPr>
          <w:rFonts w:ascii="微软雅黑" w:hAnsi="微软雅黑" w:eastAsia="微软雅黑"/>
          <w:b/>
          <w:i w:val="0"/>
          <w:color w:val="000000"/>
          <w:sz w:val="21"/>
        </w:rPr>
        <w:t>一 立项结论与项目概述</w:t>
      </w:r>
    </w:p>
    <w:p w14:paraId="77377BBB">
      <w:pPr>
        <w:spacing w:after="80"/>
        <w:ind w:left="170"/>
      </w:pPr>
      <w:r>
        <w:rPr>
          <w:rFonts w:ascii="微软雅黑" w:hAnsi="微软雅黑" w:eastAsia="微软雅黑"/>
          <w:b/>
          <w:i w:val="0"/>
          <w:color w:val="000000"/>
          <w:sz w:val="21"/>
        </w:rPr>
        <w:t>二 行业环境与市场机会</w:t>
      </w:r>
    </w:p>
    <w:p w14:paraId="00B89F0B">
      <w:pPr>
        <w:spacing w:after="80"/>
        <w:ind w:left="170"/>
      </w:pPr>
      <w:r>
        <w:rPr>
          <w:rFonts w:ascii="微软雅黑" w:hAnsi="微软雅黑" w:eastAsia="微软雅黑"/>
          <w:b/>
          <w:i w:val="0"/>
          <w:color w:val="000000"/>
          <w:sz w:val="21"/>
        </w:rPr>
        <w:t>三 目标用户与核心场景</w:t>
      </w:r>
    </w:p>
    <w:p w14:paraId="5A841CF2">
      <w:pPr>
        <w:spacing w:after="80"/>
        <w:ind w:left="170"/>
      </w:pPr>
      <w:r>
        <w:rPr>
          <w:rFonts w:ascii="微软雅黑" w:hAnsi="微软雅黑" w:eastAsia="微软雅黑"/>
          <w:b/>
          <w:i w:val="0"/>
          <w:color w:val="000000"/>
          <w:sz w:val="21"/>
        </w:rPr>
        <w:t>四 产品与服务方案</w:t>
      </w:r>
    </w:p>
    <w:p w14:paraId="3AB8317B">
      <w:pPr>
        <w:spacing w:after="80"/>
        <w:ind w:left="170"/>
      </w:pPr>
      <w:r>
        <w:rPr>
          <w:rFonts w:ascii="微软雅黑" w:hAnsi="微软雅黑" w:eastAsia="微软雅黑"/>
          <w:b/>
          <w:i w:val="0"/>
          <w:color w:val="000000"/>
          <w:sz w:val="21"/>
        </w:rPr>
        <w:t>五 技术架构与数据治理</w:t>
      </w:r>
    </w:p>
    <w:p w14:paraId="30BCF2DE">
      <w:pPr>
        <w:spacing w:after="80"/>
        <w:ind w:left="170"/>
      </w:pPr>
      <w:r>
        <w:rPr>
          <w:rFonts w:ascii="微软雅黑" w:hAnsi="微软雅黑" w:eastAsia="微软雅黑"/>
          <w:b/>
          <w:i w:val="0"/>
          <w:color w:val="000000"/>
          <w:sz w:val="21"/>
        </w:rPr>
        <w:t>六 商业模式与增长路径</w:t>
      </w:r>
    </w:p>
    <w:p w14:paraId="79779119">
      <w:pPr>
        <w:spacing w:after="80"/>
        <w:ind w:left="170"/>
      </w:pPr>
      <w:r>
        <w:rPr>
          <w:rFonts w:ascii="微软雅黑" w:hAnsi="微软雅黑" w:eastAsia="微软雅黑"/>
          <w:b/>
          <w:i w:val="0"/>
          <w:color w:val="000000"/>
          <w:sz w:val="21"/>
        </w:rPr>
        <w:t>七 市场进入与运营体系</w:t>
      </w:r>
    </w:p>
    <w:p w14:paraId="6F568396">
      <w:pPr>
        <w:spacing w:after="80"/>
        <w:ind w:left="170"/>
      </w:pPr>
      <w:r>
        <w:rPr>
          <w:rFonts w:ascii="微软雅黑" w:hAnsi="微软雅黑" w:eastAsia="微软雅黑"/>
          <w:b/>
          <w:i w:val="0"/>
          <w:color w:val="000000"/>
          <w:sz w:val="21"/>
        </w:rPr>
        <w:t>八 组织配置与项目治理</w:t>
      </w:r>
    </w:p>
    <w:p w14:paraId="75CBA786">
      <w:pPr>
        <w:spacing w:after="80"/>
        <w:ind w:left="170"/>
      </w:pPr>
      <w:r>
        <w:rPr>
          <w:rFonts w:ascii="微软雅黑" w:hAnsi="微软雅黑" w:eastAsia="微软雅黑"/>
          <w:b/>
          <w:i w:val="0"/>
          <w:color w:val="000000"/>
          <w:sz w:val="21"/>
        </w:rPr>
        <w:t>九 投资预算与财务测算</w:t>
      </w:r>
    </w:p>
    <w:p w14:paraId="3F576F15">
      <w:pPr>
        <w:spacing w:after="80"/>
        <w:ind w:left="170"/>
      </w:pPr>
      <w:r>
        <w:rPr>
          <w:rFonts w:ascii="微软雅黑" w:hAnsi="微软雅黑" w:eastAsia="微软雅黑"/>
          <w:b/>
          <w:i w:val="0"/>
          <w:color w:val="000000"/>
          <w:sz w:val="21"/>
        </w:rPr>
        <w:t>十 实施计划与验收标准</w:t>
      </w:r>
    </w:p>
    <w:p w14:paraId="0B1EC42F">
      <w:pPr>
        <w:spacing w:after="80"/>
        <w:ind w:left="170"/>
      </w:pPr>
      <w:r>
        <w:rPr>
          <w:rFonts w:ascii="微软雅黑" w:hAnsi="微软雅黑" w:eastAsia="微软雅黑"/>
          <w:b/>
          <w:i w:val="0"/>
          <w:color w:val="000000"/>
          <w:sz w:val="21"/>
        </w:rPr>
        <w:t>十一 风险、合规与退出机制</w:t>
      </w:r>
    </w:p>
    <w:p w14:paraId="66F63CED">
      <w:pPr>
        <w:spacing w:after="80"/>
        <w:ind w:left="170"/>
      </w:pPr>
      <w:r>
        <w:rPr>
          <w:rFonts w:ascii="微软雅黑" w:hAnsi="微软雅黑" w:eastAsia="微软雅黑"/>
          <w:b/>
          <w:i w:val="0"/>
          <w:color w:val="000000"/>
          <w:sz w:val="21"/>
        </w:rPr>
        <w:t>十二 立项决策事项</w:t>
      </w:r>
    </w:p>
    <w:p w14:paraId="79DFE159">
      <w:pPr>
        <w:spacing w:after="80"/>
        <w:ind w:left="397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附录 A 关键指标口径</w:t>
      </w:r>
    </w:p>
    <w:p w14:paraId="195832FA">
      <w:pPr>
        <w:spacing w:after="80"/>
        <w:ind w:left="397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附录 B 关键假设与待验证清单</w:t>
      </w:r>
    </w:p>
    <w:p w14:paraId="61AE7E7A">
      <w:pPr>
        <w:spacing w:after="80"/>
        <w:ind w:left="397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附录 C 术语表</w:t>
      </w:r>
    </w:p>
    <w:p w14:paraId="16F708DA">
      <w:pPr>
        <w:pStyle w:val="19"/>
        <w:spacing w:before="0" w:after="10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阅读提示：本报告用于演示项目立项论证的完整结构。涉及市场规模、价格、转化率、成本和收入的数字均为假设值，正式立项前应以招标询价、用户访谈、试点数据和合规评估结果更新。</w:t>
      </w:r>
    </w:p>
    <w:p w14:paraId="24261CB5">
      <w:r>
        <w:br w:type="page"/>
      </w:r>
    </w:p>
    <w:p w14:paraId="3B96F078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一 立项结论与项目概述</w:t>
      </w:r>
    </w:p>
    <w:p w14:paraId="2199B1BD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1.1 执行摘要</w:t>
      </w:r>
    </w:p>
    <w:p w14:paraId="16BDA2E8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本项目拟建设面向城市社区的智慧养老服务平台，以“需求发现—服务匹配—过程监管—效果反馈”为核心闭环，连接老年人及家属、社区工作者、养老服务机构、医疗与康复资源。平台首期不自建重资产照护设施，而是通过标准化服务目录、数字化调度、风险预警和结算评价，把分散服务供给组织起来。</w:t>
      </w:r>
    </w:p>
    <w:p w14:paraId="36E65E3E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建议立项，但采用“先验证、后扩围”的资金策略：首期投入 980 万元完成产品、数据底座、服务网络和两个街道试点；另安排首年运营预算 720 万元。若 6 个月试点达到核心门槛，再启动第二阶段扩围。按演示测算，项目预计在第 3 年形成 2,860 万元收入、约 913 万元经营性利润，累计现金回收约在第 32 个月实现。</w:t>
      </w:r>
    </w:p>
    <w:p w14:paraId="7E4E8688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1.2 立项建议与决策边界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37"/>
        <w:gridCol w:w="3137"/>
        <w:gridCol w:w="3137"/>
      </w:tblGrid>
      <w:tr w14:paraId="6AA1B2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6AD241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8"/>
              </w:rPr>
              <w:t>决策项</w:t>
            </w:r>
          </w:p>
        </w:tc>
        <w:tc>
          <w:tcPr>
            <w:tcW w:w="402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F49E20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8"/>
              </w:rPr>
              <w:t>建议</w:t>
            </w:r>
          </w:p>
        </w:tc>
        <w:tc>
          <w:tcPr>
            <w:tcW w:w="317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443995E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8"/>
              </w:rPr>
              <w:t>本阶段不做的事</w:t>
            </w:r>
          </w:p>
        </w:tc>
      </w:tr>
      <w:tr w14:paraId="1389FE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0A2F3F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是否立项</w:t>
            </w:r>
          </w:p>
        </w:tc>
        <w:tc>
          <w:tcPr>
            <w:tcW w:w="402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71A81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同意立项，进入 18 个月建设与试点验证</w:t>
            </w:r>
          </w:p>
        </w:tc>
        <w:tc>
          <w:tcPr>
            <w:tcW w:w="317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8F9C8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不以一次性覆盖全市为目标</w:t>
            </w:r>
          </w:p>
        </w:tc>
      </w:tr>
      <w:tr w14:paraId="7988C5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294D61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首期范围</w:t>
            </w:r>
          </w:p>
        </w:tc>
        <w:tc>
          <w:tcPr>
            <w:tcW w:w="402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205BC6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2 个街道、8 个社区、约 3,000 名重点老人</w:t>
            </w:r>
          </w:p>
        </w:tc>
        <w:tc>
          <w:tcPr>
            <w:tcW w:w="317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5979DD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不接入所有区县和全部服务品类</w:t>
            </w:r>
          </w:p>
        </w:tc>
      </w:tr>
      <w:tr w14:paraId="3B772A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42829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投入上限</w:t>
            </w:r>
          </w:p>
        </w:tc>
        <w:tc>
          <w:tcPr>
            <w:tcW w:w="402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7539E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建设预算 980 万元，首年运营预算 720 万元</w:t>
            </w:r>
          </w:p>
        </w:tc>
        <w:tc>
          <w:tcPr>
            <w:tcW w:w="317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2D73CE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未经评审不追加重资产采购</w:t>
            </w:r>
          </w:p>
        </w:tc>
      </w:tr>
      <w:tr w14:paraId="1D5027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14B4F3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业务模式</w:t>
            </w:r>
          </w:p>
        </w:tc>
        <w:tc>
          <w:tcPr>
            <w:tcW w:w="402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5A4129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平台撮合与服务监管为主，重点服务自营可控</w:t>
            </w:r>
          </w:p>
        </w:tc>
        <w:tc>
          <w:tcPr>
            <w:tcW w:w="317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91A52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不直接替代医院和专业护理机构</w:t>
            </w:r>
          </w:p>
        </w:tc>
      </w:tr>
      <w:tr w14:paraId="2FD316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30FBFC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阶段闸门</w:t>
            </w:r>
          </w:p>
        </w:tc>
        <w:tc>
          <w:tcPr>
            <w:tcW w:w="402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F92BF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以活跃老人、服务履约率、复购率和安全事件作为放大依据</w:t>
            </w:r>
          </w:p>
        </w:tc>
        <w:tc>
          <w:tcPr>
            <w:tcW w:w="317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0A5E66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不以注册用户数作为唯一成功标准</w:t>
            </w:r>
          </w:p>
        </w:tc>
      </w:tr>
    </w:tbl>
    <w:p w14:paraId="634BA5FE">
      <w:pPr>
        <w:spacing w:after="40"/>
      </w:pPr>
    </w:p>
    <w:p w14:paraId="69F87B03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1.3 项目基本信息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6"/>
        <w:gridCol w:w="4706"/>
      </w:tblGrid>
      <w:tr w14:paraId="5F8A15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AE9EC2F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9"/>
              </w:rPr>
              <w:t>项目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6C27B38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9"/>
              </w:rPr>
              <w:t>内容</w:t>
            </w:r>
          </w:p>
        </w:tc>
      </w:tr>
      <w:tr w14:paraId="20388B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44D35E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/>
                <w:i w:val="0"/>
                <w:color w:val="000000"/>
                <w:sz w:val="19"/>
              </w:rPr>
              <w:t>项目名称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9F89A1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9"/>
              </w:rPr>
              <w:t>城市社区智慧养老服务平台</w:t>
            </w:r>
          </w:p>
        </w:tc>
      </w:tr>
      <w:tr w14:paraId="432FCC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0F6B7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/>
                <w:i w:val="0"/>
                <w:color w:val="000000"/>
                <w:sz w:val="19"/>
              </w:rPr>
              <w:t>项目类型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7BC262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9"/>
              </w:rPr>
              <w:t>数字化服务平台 + 社区运营网络 + 养老服务标准化</w:t>
            </w:r>
          </w:p>
        </w:tc>
      </w:tr>
      <w:tr w14:paraId="754C64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7972BC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/>
                <w:i w:val="0"/>
                <w:color w:val="000000"/>
                <w:sz w:val="19"/>
              </w:rPr>
              <w:t>建设单位（建议）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54B0D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9"/>
              </w:rPr>
              <w:t>城市民生服务产业平台公司或区级国资运营主体</w:t>
            </w:r>
          </w:p>
        </w:tc>
      </w:tr>
      <w:tr w14:paraId="1D675E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5C5A1D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/>
                <w:i w:val="0"/>
                <w:color w:val="000000"/>
                <w:sz w:val="19"/>
              </w:rPr>
              <w:t>服务对象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CB18DA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9"/>
              </w:rPr>
              <w:t>60 岁以上居民、独居/空巢老人、失能半失能老人家庭及照护者</w:t>
            </w:r>
          </w:p>
        </w:tc>
      </w:tr>
      <w:tr w14:paraId="075E43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81F4A1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/>
                <w:i w:val="0"/>
                <w:color w:val="000000"/>
                <w:sz w:val="19"/>
              </w:rPr>
              <w:t>核心价值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49B52A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9"/>
              </w:rPr>
              <w:t>让老人更容易获得可信服务，让社区更早发现风险，让机构获得稳定订单</w:t>
            </w:r>
          </w:p>
        </w:tc>
      </w:tr>
      <w:tr w14:paraId="68D143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40A28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/>
                <w:i w:val="0"/>
                <w:color w:val="000000"/>
                <w:sz w:val="19"/>
              </w:rPr>
              <w:t>首期周期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FAC9FC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9"/>
              </w:rPr>
              <w:t>0-6 个月验证；7-12 个月扩围；13-18 个月规模化准备</w:t>
            </w:r>
          </w:p>
        </w:tc>
      </w:tr>
      <w:tr w14:paraId="46EE2E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2A99A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/>
                <w:i w:val="0"/>
                <w:color w:val="000000"/>
                <w:sz w:val="19"/>
              </w:rPr>
              <w:t>立项结论</w:t>
            </w:r>
          </w:p>
        </w:tc>
        <w:tc>
          <w:tcPr>
            <w:tcW w:w="70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ECE3DC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9"/>
              </w:rPr>
              <w:t>建议通过，设置试点达标后再释放扩围预算的阶段性条件</w:t>
            </w:r>
          </w:p>
        </w:tc>
      </w:tr>
    </w:tbl>
    <w:p w14:paraId="62E233D1">
      <w:pPr>
        <w:spacing w:after="40"/>
      </w:pPr>
    </w:p>
    <w:p w14:paraId="734ADD42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1.4 关键成功条件</w:t>
      </w:r>
    </w:p>
    <w:p w14:paraId="63825371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把线下服务流程先标准化，再做数字化；平台不能只停留在“发布信息和撮合订单”。</w:t>
      </w:r>
    </w:p>
    <w:p w14:paraId="740BF8F0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建立服务准入、人员认证、过程留痕、异常升级和客诉闭环，确保安全优先于规模。</w:t>
      </w:r>
    </w:p>
    <w:p w14:paraId="52F60356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以社区为运营单元配置专人，不能完全依赖线上自助，因为目标用户存在数字鸿沟。</w:t>
      </w:r>
    </w:p>
    <w:p w14:paraId="76E74CB2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明确政府购买服务、个人付费、保险/支付方合作之间的边界，避免收入来源单一。</w:t>
      </w:r>
    </w:p>
    <w:p w14:paraId="586A8BDD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所有市场和财务假设均需在 6 个月试点中形成可复核数据，作为扩围的唯一依据。</w:t>
      </w:r>
    </w:p>
    <w:p w14:paraId="4BFCA492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二 行业环境与市场机会</w:t>
      </w:r>
    </w:p>
    <w:p w14:paraId="26041746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2.1 行业问题判断</w:t>
      </w:r>
    </w:p>
    <w:p w14:paraId="5FE16FA4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社区养老服务的核心矛盾不是“没有服务”，而是需求与供给之间缺少可持续的组织机制：老人和家属不知道去哪找，社区难以持续掌握需求变化，服务机构获客成本高且排班不稳定，基层管理者缺少统一的过程数据。一个可行的平台应当同时解决信任、效率和监管三个问题，而不是单纯增加一个线上入口。</w:t>
      </w:r>
    </w:p>
    <w:p w14:paraId="21C46C1D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2.2 外部趋势与机会窗口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37"/>
        <w:gridCol w:w="3137"/>
        <w:gridCol w:w="3137"/>
      </w:tblGrid>
      <w:tr w14:paraId="5BD3B6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98F250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趋势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B03F0E9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对项目的影响</w:t>
            </w:r>
          </w:p>
        </w:tc>
        <w:tc>
          <w:tcPr>
            <w:tcW w:w="374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319E4BB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项目应采取的动作</w:t>
            </w:r>
          </w:p>
        </w:tc>
      </w:tr>
      <w:tr w14:paraId="67400F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1FF2E9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老龄化与家庭小型化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79E1E7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照护需求更加碎片化、长期化，单一机构难以覆盖</w:t>
            </w:r>
          </w:p>
        </w:tc>
        <w:tc>
          <w:tcPr>
            <w:tcW w:w="374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89AC06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以社区为最小运营单元，提供短时、上门、陪诊和康复等组合服务</w:t>
            </w:r>
          </w:p>
        </w:tc>
      </w:tr>
      <w:tr w14:paraId="46B523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9FEF6B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基层治理数字化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298A4E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社区需要可视化的重点人群和服务过程数据</w:t>
            </w:r>
          </w:p>
        </w:tc>
        <w:tc>
          <w:tcPr>
            <w:tcW w:w="374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C7FE0F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建设老人档案、事件工单、服务台账和统计看板</w:t>
            </w:r>
          </w:p>
        </w:tc>
      </w:tr>
      <w:tr w14:paraId="7334BE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11C5F9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服务供给分散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84FBA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机构质量和人员能力差异大，用户决策成本高</w:t>
            </w:r>
          </w:p>
        </w:tc>
        <w:tc>
          <w:tcPr>
            <w:tcW w:w="374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D7A8B5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建立服务目录、准入评级、履约评分和黑名单机制</w:t>
            </w:r>
          </w:p>
        </w:tc>
      </w:tr>
      <w:tr w14:paraId="32A816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FDD83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支付方式多元化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ECC603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个人、子女、政府项目、保险可能共同支付</w:t>
            </w:r>
          </w:p>
        </w:tc>
        <w:tc>
          <w:tcPr>
            <w:tcW w:w="374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9B8F6F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支持套餐、按次、订阅和项目制结算，保留可审计凭证</w:t>
            </w:r>
          </w:p>
        </w:tc>
      </w:tr>
      <w:tr w14:paraId="5A72AE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1993C3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AI 与物联网成熟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E34707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可降低人工巡检和调度成本，但也带来隐私风险</w:t>
            </w:r>
          </w:p>
        </w:tc>
        <w:tc>
          <w:tcPr>
            <w:tcW w:w="374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5CA223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优先采用低侵入设备，所有告警保留人工复核与授权机制</w:t>
            </w:r>
          </w:p>
        </w:tc>
      </w:tr>
    </w:tbl>
    <w:p w14:paraId="2FE53E9A">
      <w:pPr>
        <w:spacing w:after="40"/>
      </w:pPr>
    </w:p>
    <w:p w14:paraId="1926E514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2.3 市场规模测算（演示口径）</w:t>
      </w:r>
    </w:p>
    <w:p w14:paraId="7CFAE35F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本报告采用自下而上的服务容量法，不直接引用宏观市场金额。测算对象是“城市社区中可被平台组织的年度服务支出”，以重点老人数量、年均服务频次、客单价和平台可获取比例为核心变量。所有参数都应在试点中重新校准。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04796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875BA61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层级</w:t>
            </w:r>
          </w:p>
        </w:tc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4F09490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测算逻辑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8CB079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关键假设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3BB843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演示结果</w:t>
            </w:r>
          </w:p>
        </w:tc>
      </w:tr>
      <w:tr w14:paraId="095F42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DF4F30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TAM 可服务总市场</w:t>
            </w:r>
          </w:p>
        </w:tc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4AE33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目标城市重点老人 × 年均服务支出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A8C133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重点老人 28 万；年均 3,600 元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1A4BBD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约 100.8 亿元</w:t>
            </w:r>
          </w:p>
        </w:tc>
      </w:tr>
      <w:tr w14:paraId="1580CB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6FB010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SAM 可进入市场</w:t>
            </w:r>
          </w:p>
        </w:tc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551DB4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TAM × 首批服务品类覆盖率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5858F8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上门照护、助餐、陪诊、康复、适老改造覆盖 22%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B57335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约 22.2 亿元</w:t>
            </w:r>
          </w:p>
        </w:tc>
      </w:tr>
      <w:tr w14:paraId="6341A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0B8AEA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SOM 三年目标</w:t>
            </w:r>
          </w:p>
        </w:tc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A7913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SAM × 平台可组织份额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BFBB3C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覆盖 8 个街道；平台组织份额约 1.3%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0F21EB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约 2,860 万元收入</w:t>
            </w:r>
          </w:p>
        </w:tc>
      </w:tr>
    </w:tbl>
    <w:p w14:paraId="57A3FE0D">
      <w:pPr>
        <w:spacing w:after="40"/>
      </w:pPr>
    </w:p>
    <w:p w14:paraId="500A890D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2.4 竞争与替代关系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4049AA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24F25C3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替代方案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DA113CC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优势</w:t>
            </w:r>
          </w:p>
        </w:tc>
        <w:tc>
          <w:tcPr>
            <w:tcW w:w="232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180412D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短板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135AB0A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本项目策略</w:t>
            </w:r>
          </w:p>
        </w:tc>
      </w:tr>
      <w:tr w14:paraId="0CB93E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C816F2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传统家政/养老机构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7A9816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线下经验和服务人员稳定</w:t>
            </w:r>
          </w:p>
        </w:tc>
        <w:tc>
          <w:tcPr>
            <w:tcW w:w="232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40410F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信息不透明，跨机构协同弱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208EDD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做统一服务目录与履约监管，成为机构增量渠道</w:t>
            </w:r>
          </w:p>
        </w:tc>
      </w:tr>
      <w:tr w14:paraId="2C0ADB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D4428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社区服务中心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8D7AA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信任基础和居民触达能力强</w:t>
            </w:r>
          </w:p>
        </w:tc>
        <w:tc>
          <w:tcPr>
            <w:tcW w:w="232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E44351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人力有限，台账数字化不足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B4403E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提供轻量工作台和数据看板，不替代社区职责</w:t>
            </w:r>
          </w:p>
        </w:tc>
      </w:tr>
      <w:tr w14:paraId="6CD026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2F3A7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综合生活平台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31F5D4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流量和支付能力强</w:t>
            </w:r>
          </w:p>
        </w:tc>
        <w:tc>
          <w:tcPr>
            <w:tcW w:w="232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DE724C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养老场景专业性与安全闭环不足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D20A2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聚焦高信任、高频服务和专业审核</w:t>
            </w:r>
          </w:p>
        </w:tc>
      </w:tr>
      <w:tr w14:paraId="758078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2C137E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智能硬件厂商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14F214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设备和算法能力强</w:t>
            </w:r>
          </w:p>
        </w:tc>
        <w:tc>
          <w:tcPr>
            <w:tcW w:w="232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E1B644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缺少服务承接与人工响应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8D725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以告警闭环和服务结果作为差异化</w:t>
            </w:r>
          </w:p>
        </w:tc>
      </w:tr>
    </w:tbl>
    <w:p w14:paraId="74137938">
      <w:pPr>
        <w:spacing w:after="40"/>
      </w:pPr>
    </w:p>
    <w:p w14:paraId="70FA709F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2.5 市场进入的基本判断</w:t>
      </w:r>
    </w:p>
    <w:p w14:paraId="3627673E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项目最适合从“服务密度高、治理意愿强、机构基础较好”的街道切入。首期不追求覆盖面，而追求单位社区内形成可感知的服务密度：每个试点社区至少 20 名认证服务人员、10 家合作机构、3 类高频服务和 1 套异常响应机制。只有先形成密度，平台才有机会降低获客和调度成本。</w:t>
      </w:r>
    </w:p>
    <w:p w14:paraId="6AD07A10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三 目标用户与核心场景</w:t>
      </w:r>
    </w:p>
    <w:p w14:paraId="7C11DBCF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3.1 用户分层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2"/>
        <w:gridCol w:w="1882"/>
        <w:gridCol w:w="1882"/>
        <w:gridCol w:w="1882"/>
        <w:gridCol w:w="1882"/>
      </w:tblGrid>
      <w:tr w14:paraId="099A40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4802C3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用户群</w:t>
            </w:r>
          </w:p>
        </w:tc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1D7FC9D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典型特征</w:t>
            </w:r>
          </w:p>
        </w:tc>
        <w:tc>
          <w:tcPr>
            <w:tcW w:w="18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5DD8AB8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主要需求</w:t>
            </w:r>
          </w:p>
        </w:tc>
        <w:tc>
          <w:tcPr>
            <w:tcW w:w="18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D9C6B8B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关键阻力</w:t>
            </w:r>
          </w:p>
        </w:tc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A7EB4E9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产品应答</w:t>
            </w:r>
          </w:p>
        </w:tc>
      </w:tr>
      <w:tr w14:paraId="4A1EF2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64740B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独居/空巢老人</w:t>
            </w:r>
          </w:p>
        </w:tc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583693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65-85 岁，线上能力不一</w:t>
            </w:r>
          </w:p>
        </w:tc>
        <w:tc>
          <w:tcPr>
            <w:tcW w:w="18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1B7FFD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日常照料、紧急响应、陪诊</w:t>
            </w:r>
          </w:p>
        </w:tc>
        <w:tc>
          <w:tcPr>
            <w:tcW w:w="18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EED9C9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不会使用复杂应用，不信任陌生人</w:t>
            </w:r>
          </w:p>
        </w:tc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491A48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电话/线下代办 + 认证服务人员 + 一键求助</w:t>
            </w:r>
          </w:p>
        </w:tc>
      </w:tr>
      <w:tr w14:paraId="2C8B9D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E60FE2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子女及照护者</w:t>
            </w:r>
          </w:p>
        </w:tc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8A53B1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异地或工作繁忙，承担支付与决策</w:t>
            </w:r>
          </w:p>
        </w:tc>
        <w:tc>
          <w:tcPr>
            <w:tcW w:w="18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AEA35D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远程知情、可信服务、费用透明</w:t>
            </w:r>
          </w:p>
        </w:tc>
        <w:tc>
          <w:tcPr>
            <w:tcW w:w="18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E8B62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担心安全和服务偷工减料</w:t>
            </w:r>
          </w:p>
        </w:tc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603DB9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进度通知、服务凭证、评价和异常升级</w:t>
            </w:r>
          </w:p>
        </w:tc>
      </w:tr>
      <w:tr w14:paraId="5AB7E7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E2386C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社区工作者</w:t>
            </w:r>
          </w:p>
        </w:tc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176E4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管理多个小区，事务多、时间碎片化</w:t>
            </w:r>
          </w:p>
        </w:tc>
        <w:tc>
          <w:tcPr>
            <w:tcW w:w="18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7DDB9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重点人群台账、任务协同、统计报表</w:t>
            </w:r>
          </w:p>
        </w:tc>
        <w:tc>
          <w:tcPr>
            <w:tcW w:w="18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66063A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重复录入、跨部门协作困难</w:t>
            </w:r>
          </w:p>
        </w:tc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DC0A47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社区工作台、自动提醒、标准化报表</w:t>
            </w:r>
          </w:p>
        </w:tc>
      </w:tr>
      <w:tr w14:paraId="4616A9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9E453E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养老服务机构</w:t>
            </w:r>
          </w:p>
        </w:tc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D99685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人员与服务能力差异明显</w:t>
            </w:r>
          </w:p>
        </w:tc>
        <w:tc>
          <w:tcPr>
            <w:tcW w:w="18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C296C4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稳定订单、排班和结算</w:t>
            </w:r>
          </w:p>
        </w:tc>
        <w:tc>
          <w:tcPr>
            <w:tcW w:w="18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2C5EA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获客成本、账期、评价不透明</w:t>
            </w:r>
          </w:p>
        </w:tc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FD6AE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机构后台、订单池、规则化结算</w:t>
            </w:r>
          </w:p>
        </w:tc>
      </w:tr>
      <w:tr w14:paraId="3C290B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D3A9F9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街道/主管部门</w:t>
            </w:r>
          </w:p>
        </w:tc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1BE06C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关注民生效果与财政绩效</w:t>
            </w:r>
          </w:p>
        </w:tc>
        <w:tc>
          <w:tcPr>
            <w:tcW w:w="18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8F78BA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可量化的覆盖率、履约率、安全性</w:t>
            </w:r>
          </w:p>
        </w:tc>
        <w:tc>
          <w:tcPr>
            <w:tcW w:w="18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F25CAE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数据口径不一致，难以核验</w:t>
            </w:r>
          </w:p>
        </w:tc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651F1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监管看板、审计日志、项目绩效指标</w:t>
            </w:r>
          </w:p>
        </w:tc>
      </w:tr>
    </w:tbl>
    <w:p w14:paraId="5EEB064F">
      <w:pPr>
        <w:spacing w:after="40"/>
      </w:pPr>
    </w:p>
    <w:p w14:paraId="57A9D200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3.2 高价值场景优先级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"/>
        <w:gridCol w:w="1569"/>
        <w:gridCol w:w="1569"/>
        <w:gridCol w:w="1569"/>
        <w:gridCol w:w="1569"/>
        <w:gridCol w:w="1569"/>
      </w:tblGrid>
      <w:tr w14:paraId="368F63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606D148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场景</w:t>
            </w:r>
          </w:p>
        </w:tc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8ACBD3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频次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DD909D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痛点强度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FF6126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支付意愿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35BFA4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一期优先级</w:t>
            </w:r>
          </w:p>
        </w:tc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9244374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验证指标</w:t>
            </w:r>
          </w:p>
        </w:tc>
      </w:tr>
      <w:tr w14:paraId="56DEB8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ABB035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上门照护</w:t>
            </w:r>
          </w:p>
        </w:tc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4DDF4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高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3EA13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高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991EEF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中高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B8F509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P0</w:t>
            </w:r>
          </w:p>
        </w:tc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5D4057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准时履约率 ≥ 92%</w:t>
            </w:r>
          </w:p>
        </w:tc>
      </w:tr>
      <w:tr w14:paraId="08F7FF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0D41EC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陪诊与代办</w:t>
            </w:r>
          </w:p>
        </w:tc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D82374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中高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C5D96A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高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1669F9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中高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D9EB3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P0</w:t>
            </w:r>
          </w:p>
        </w:tc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2313BB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订单完成率 ≥ 95%</w:t>
            </w:r>
          </w:p>
        </w:tc>
      </w:tr>
      <w:tr w14:paraId="73DAC2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E6D104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助餐配送</w:t>
            </w:r>
          </w:p>
        </w:tc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07008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高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09CDA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中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DA7391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中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65EB05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P1</w:t>
            </w:r>
          </w:p>
        </w:tc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8ED350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月复购率 ≥ 45%</w:t>
            </w:r>
          </w:p>
        </w:tc>
      </w:tr>
      <w:tr w14:paraId="1B4DDC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7E29AD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康复训练</w:t>
            </w:r>
          </w:p>
        </w:tc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1C2D7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中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09666A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高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6BB28D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高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5B3A3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P1</w:t>
            </w:r>
          </w:p>
        </w:tc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EF6EF0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疗程完成率 ≥ 70%</w:t>
            </w:r>
          </w:p>
        </w:tc>
      </w:tr>
      <w:tr w14:paraId="370717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FF6BCC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紧急响应</w:t>
            </w:r>
          </w:p>
        </w:tc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B94E4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低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A47667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极高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C4798E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低但必须可用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A57918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P0</w:t>
            </w:r>
          </w:p>
        </w:tc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EACB1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告警响应 ≤ 10 分钟</w:t>
            </w:r>
          </w:p>
        </w:tc>
      </w:tr>
      <w:tr w14:paraId="4AE51A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864359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适老化改造</w:t>
            </w:r>
          </w:p>
        </w:tc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4022C7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低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F78D9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中高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2598FF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高</w:t>
            </w:r>
          </w:p>
        </w:tc>
        <w:tc>
          <w:tcPr>
            <w:tcW w:w="102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811742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P2</w:t>
            </w:r>
          </w:p>
        </w:tc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31AAE1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方案转化率 ≥ 20%</w:t>
            </w:r>
          </w:p>
        </w:tc>
      </w:tr>
    </w:tbl>
    <w:p w14:paraId="25001851">
      <w:pPr>
        <w:spacing w:after="40"/>
      </w:pPr>
    </w:p>
    <w:p w14:paraId="3E83976A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3.3 典型用户旅程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2"/>
        <w:gridCol w:w="1882"/>
        <w:gridCol w:w="1882"/>
        <w:gridCol w:w="1882"/>
        <w:gridCol w:w="1882"/>
      </w:tblGrid>
      <w:tr w14:paraId="13B1AA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0622D2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阶段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F8EE5B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用户行为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A722DD7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平台触点</w:t>
            </w:r>
          </w:p>
        </w:tc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8BBC3D1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服务风险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BE97E8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设计原则</w:t>
            </w:r>
          </w:p>
        </w:tc>
      </w:tr>
      <w:tr w14:paraId="504150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3737D5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发现需求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CB2C33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老人身体不适或家属发现照护缺口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0D64CB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电话、社区工作人员、公众号、小程序</w:t>
            </w:r>
          </w:p>
        </w:tc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90886A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需求描述不清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A4BCC1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允许代办，先确认安全和紧急程度</w:t>
            </w:r>
          </w:p>
        </w:tc>
      </w:tr>
      <w:tr w14:paraId="08D22A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14D4C9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选择服务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AB7167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比较价格、时间和人员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C482AB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服务目录、认证标签、历史评价</w:t>
            </w:r>
          </w:p>
        </w:tc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3BE26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价格和能力不透明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AB8A37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展示可验证信息，避免夸大承诺</w:t>
            </w:r>
          </w:p>
        </w:tc>
      </w:tr>
      <w:tr w14:paraId="5A2264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8E39C7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下单确认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4CE7C5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约定时间、地址和注意事项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997D9F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订单确认、授权、支付</w:t>
            </w:r>
          </w:p>
        </w:tc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9C34EA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隐私或授权不完整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EBA41E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最小必要信息，关键动作二次确认</w:t>
            </w:r>
          </w:p>
        </w:tc>
      </w:tr>
      <w:tr w14:paraId="10A439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A3AAD4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服务执行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001732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人员上门并完成服务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685FE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签到、过程记录、异常上报</w:t>
            </w:r>
          </w:p>
        </w:tc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81865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迟到、漏项、人身安全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007F8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标准作业清单 + 异常升级</w:t>
            </w:r>
          </w:p>
        </w:tc>
      </w:tr>
      <w:tr w14:paraId="76481A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5ABD4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评价复盘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2488A6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确认结果并反馈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3E872B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服务凭证、评价、回访</w:t>
            </w:r>
          </w:p>
        </w:tc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67C204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低质量问题被掩盖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632FCD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评价与结算、复训、淘汰联动</w:t>
            </w:r>
          </w:p>
        </w:tc>
      </w:tr>
    </w:tbl>
    <w:p w14:paraId="18C487AB">
      <w:pPr>
        <w:spacing w:after="40"/>
      </w:pPr>
    </w:p>
    <w:p w14:paraId="463851BC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3.4 需求优先级判断</w:t>
      </w:r>
    </w:p>
    <w:p w14:paraId="048343A0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一期需求必须同时满足“高频或高风险、可标准化、能由社区触达、能产生闭环数据”四个条件。仅有展示价值而不能带来服务结果的功能，如复杂社区社交、泛健康内容和大而全的商城，暂不纳入 MVP，以免分散建设资源。</w:t>
      </w:r>
    </w:p>
    <w:p w14:paraId="2570D26A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四 产品与服务方案</w:t>
      </w:r>
    </w:p>
    <w:p w14:paraId="622D5DC6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4.1 产品定位</w:t>
      </w:r>
    </w:p>
    <w:p w14:paraId="532783A2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平台不是单一 App，而是一套“一个底座、三类端、四条业务链”的服务系统。一个底座是老人、家庭、机构、人员和服务订单的数据底座；三类端是居民端、社区工作台、机构与监管端；四条业务链是服务交易、照护协同、风险响应和项目绩效。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377824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E3446A6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产品层</w:t>
            </w:r>
          </w:p>
        </w:tc>
        <w:tc>
          <w:tcPr>
            <w:tcW w:w="24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82D8A83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核心模块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9A53A99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主要使用者</w:t>
            </w:r>
          </w:p>
        </w:tc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7AC4C44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一期交付边界</w:t>
            </w:r>
          </w:p>
        </w:tc>
      </w:tr>
      <w:tr w14:paraId="35AA62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1743CB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居民与家庭端</w:t>
            </w:r>
          </w:p>
        </w:tc>
        <w:tc>
          <w:tcPr>
            <w:tcW w:w="24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3225DC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服务浏览、下单、支付、进度、评价、授权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E9B13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老人、子女、照护者</w:t>
            </w:r>
          </w:p>
        </w:tc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7EC0C5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小程序 + 电话代办；保留人工客服</w:t>
            </w:r>
          </w:p>
        </w:tc>
      </w:tr>
      <w:tr w14:paraId="11EFD4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3F495F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社区工作台</w:t>
            </w:r>
          </w:p>
        </w:tc>
        <w:tc>
          <w:tcPr>
            <w:tcW w:w="24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025E47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老人档案、重点关注、工单、回访、统计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E9D1A9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社区工作者、网格员</w:t>
            </w:r>
          </w:p>
        </w:tc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1C65A2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支持批量导入和移动端处理</w:t>
            </w:r>
          </w:p>
        </w:tc>
      </w:tr>
      <w:tr w14:paraId="233BB7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06C71D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机构服务端</w:t>
            </w:r>
          </w:p>
        </w:tc>
        <w:tc>
          <w:tcPr>
            <w:tcW w:w="24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E11015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资质、人员、排班、订单、签到、结算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EFF6A7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养老机构、家政机构、护理员</w:t>
            </w:r>
          </w:p>
        </w:tc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F8A700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先覆盖核心服务品类，规则化结算</w:t>
            </w:r>
          </w:p>
        </w:tc>
      </w:tr>
      <w:tr w14:paraId="17061C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25C737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监管与运营端</w:t>
            </w:r>
          </w:p>
        </w:tc>
        <w:tc>
          <w:tcPr>
            <w:tcW w:w="24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4FBF9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项目看板、绩效、风险、审计、配置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E1AA9E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街道、主管部门、运营中心</w:t>
            </w:r>
          </w:p>
        </w:tc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DFE76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支持按社区、机构、服务品类切分</w:t>
            </w:r>
          </w:p>
        </w:tc>
      </w:tr>
      <w:tr w14:paraId="12C733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F2BD5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数据与规则底座</w:t>
            </w:r>
          </w:p>
        </w:tc>
        <w:tc>
          <w:tcPr>
            <w:tcW w:w="24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DCCBC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身份、标签、权限、消息、规则、日志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623509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平台自身及合作方</w:t>
            </w:r>
          </w:p>
        </w:tc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7A0E23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统一口径，支持后续扩围</w:t>
            </w:r>
          </w:p>
        </w:tc>
      </w:tr>
    </w:tbl>
    <w:p w14:paraId="3D2F3CF1">
      <w:pPr>
        <w:spacing w:after="40"/>
      </w:pPr>
    </w:p>
    <w:p w14:paraId="0F91C9D0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4.2 MVP 功能清单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565F9F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73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6F29987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优先级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FF1A39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功能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A3EBB0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验收口径</w:t>
            </w:r>
          </w:p>
        </w:tc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8C53ED3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依赖</w:t>
            </w:r>
          </w:p>
        </w:tc>
      </w:tr>
      <w:tr w14:paraId="1974B0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3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3E098D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P0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61F38F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服务目录与定价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5B64A1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至少 20 个服务 SKU，价格、时长、适用人群可配置</w:t>
            </w:r>
          </w:p>
        </w:tc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F3E10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服务标准与机构协议</w:t>
            </w:r>
          </w:p>
        </w:tc>
      </w:tr>
      <w:tr w14:paraId="1F4624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3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41D04E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P0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398F3E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订单与调度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5C41E8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从下单到完成全链路留痕，支持改派、取消和异常</w:t>
            </w:r>
          </w:p>
        </w:tc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2D12F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人员与机构主数据</w:t>
            </w:r>
          </w:p>
        </w:tc>
      </w:tr>
      <w:tr w14:paraId="63F3A4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3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B91B05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P0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932CF6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社区工作台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E0DDF7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社区可查看重点老人、待办、回访和工单状态</w:t>
            </w:r>
          </w:p>
        </w:tc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4A7A2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老人档案和权限体系</w:t>
            </w:r>
          </w:p>
        </w:tc>
      </w:tr>
      <w:tr w14:paraId="08B7B1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3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74D6FE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P0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FD6CE5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服务安全机制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D963E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认证、签到、过程记录、投诉和升级机制可用</w:t>
            </w:r>
          </w:p>
        </w:tc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839C7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 SOP 与培训</w:t>
            </w:r>
          </w:p>
        </w:tc>
      </w:tr>
      <w:tr w14:paraId="03A3F3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3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C4A90F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P1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3A38B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家属远程看护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83C56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家属可查看服务进度、凭证和月度摘要</w:t>
            </w:r>
          </w:p>
        </w:tc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DC95B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授权与消息服务</w:t>
            </w:r>
          </w:p>
        </w:tc>
      </w:tr>
      <w:tr w14:paraId="59975C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3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102558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P1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F45BCB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绩效看板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C81A69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按社区、机构、服务品类输出覆盖和履约指标</w:t>
            </w:r>
          </w:p>
        </w:tc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2204DC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指标口径统一</w:t>
            </w:r>
          </w:p>
        </w:tc>
      </w:tr>
      <w:tr w14:paraId="5553D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3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598B11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P2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4A6E2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智能设备接入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317907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支持 2 类设备的告警接入和人工复核</w:t>
            </w:r>
          </w:p>
        </w:tc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6D6A70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设备协议与隐私评估</w:t>
            </w:r>
          </w:p>
        </w:tc>
      </w:tr>
    </w:tbl>
    <w:p w14:paraId="5A63FA4A">
      <w:pPr>
        <w:spacing w:after="40"/>
      </w:pPr>
    </w:p>
    <w:p w14:paraId="5CB71FB3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4.3 服务标准与作业闭环</w:t>
      </w:r>
    </w:p>
    <w:p w14:paraId="7C6C75B3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服务前：核验订单、人员身份、服务地址、老人注意事项和授权范围。</w:t>
      </w:r>
    </w:p>
    <w:p w14:paraId="6495B777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服务中：按清单执行；涉及用药、跌倒、走失、情绪异常等高风险事件时，必须触发人工升级。</w:t>
      </w:r>
    </w:p>
    <w:p w14:paraId="48CEF1CC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服务后：提交服务凭证和异常说明；用户或家属在 24 小时内确认，系统再进入结算。</w:t>
      </w:r>
    </w:p>
    <w:p w14:paraId="4F2ECC8E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复盘：运营中心按周分析取消率、迟到率、投诉率和重复异常，对机构和人员进行培训或降级。</w:t>
      </w:r>
    </w:p>
    <w:p w14:paraId="62E2BE1F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4.4 产品路线图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6BA417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43115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阶段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A2B9512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时间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CA35C29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产品重点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9011792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业务结果</w:t>
            </w:r>
          </w:p>
        </w:tc>
      </w:tr>
      <w:tr w14:paraId="152C34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9354AB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验证期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365A64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0-6 个月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8995C5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MVP、电话代办、订单闭环、服务标准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474CCC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跑通 3 类高频服务，积累首批履约数据</w:t>
            </w:r>
          </w:p>
        </w:tc>
      </w:tr>
      <w:tr w14:paraId="5DB064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8F5B0B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扩围期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B4D6D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7-12 个月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4126BE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家属端、机构结算、绩效看板、服务品类扩展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FE7CE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覆盖 8 个社区以上，建立稳定复购</w:t>
            </w:r>
          </w:p>
        </w:tc>
      </w:tr>
      <w:tr w14:paraId="4FE12D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7CE55C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规模化准备期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331829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13-18 个月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D476AD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多街道配置、设备接入、开放接口、复制手册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3FFFE9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形成可复制的运营单元与交付包</w:t>
            </w:r>
          </w:p>
        </w:tc>
      </w:tr>
    </w:tbl>
    <w:p w14:paraId="0BF40E71">
      <w:pPr>
        <w:spacing w:after="40"/>
      </w:pPr>
    </w:p>
    <w:p w14:paraId="052886A7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五 技术架构与数据治理</w:t>
      </w:r>
    </w:p>
    <w:p w14:paraId="51F5FAD0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5.1 总体架构</w:t>
      </w:r>
    </w:p>
    <w:p w14:paraId="10FD41D6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技术建设遵循“业务先行、数据统一、权限最小、可审计”的原则。首期采用模块化单体或轻量服务化架构，避免在业务尚未验证时过度拆分；接口层、消息层和数据权限需要从第一天设计，以便后续接入街道系统、第三方支付和设备。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654C58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12C34EB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层级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B77BD8B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组成</w:t>
            </w:r>
          </w:p>
        </w:tc>
        <w:tc>
          <w:tcPr>
            <w:tcW w:w="328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28FCCD3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关键设计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0C6C30F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验收关注点</w:t>
            </w:r>
          </w:p>
        </w:tc>
      </w:tr>
      <w:tr w14:paraId="49C6B7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212E5A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接入层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3134D5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小程序、社区工作台、机构端、客服台</w:t>
            </w:r>
          </w:p>
        </w:tc>
        <w:tc>
          <w:tcPr>
            <w:tcW w:w="328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974532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统一身份、分端权限、弱网可用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9760A6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关键流程 3 步内完成；兼容人工代办</w:t>
            </w:r>
          </w:p>
        </w:tc>
      </w:tr>
      <w:tr w14:paraId="4E230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8A9370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业务层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2062D5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老人档案、服务目录、订单、调度、工单、结算</w:t>
            </w:r>
          </w:p>
        </w:tc>
        <w:tc>
          <w:tcPr>
            <w:tcW w:w="328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45956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状态机驱动，避免状态口径分裂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92370C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订单状态可追溯、可回放</w:t>
            </w:r>
          </w:p>
        </w:tc>
      </w:tr>
      <w:tr w14:paraId="74DC67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A5F5AB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规则层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C31EF0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服务准入、风险规则、计费、绩效、消息</w:t>
            </w:r>
          </w:p>
        </w:tc>
        <w:tc>
          <w:tcPr>
            <w:tcW w:w="328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B100DE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规则可配置但变更需审批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E4EC68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每次规则变更有版本和生效时间</w:t>
            </w:r>
          </w:p>
        </w:tc>
      </w:tr>
      <w:tr w14:paraId="6AC5ED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73F9E0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数据层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669DC8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主数据、交易数据、日志、指标库</w:t>
            </w:r>
          </w:p>
        </w:tc>
        <w:tc>
          <w:tcPr>
            <w:tcW w:w="328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902052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分层存储、脱敏、备份、数据字典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18105D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关键字段完整率 ≥ 98%</w:t>
            </w:r>
          </w:p>
        </w:tc>
      </w:tr>
      <w:tr w14:paraId="5A853B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0A7CAD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基础设施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38D7B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云主机、数据库、对象存储、监控、备份</w:t>
            </w:r>
          </w:p>
        </w:tc>
        <w:tc>
          <w:tcPr>
            <w:tcW w:w="328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4B921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按需扩容、容灾、密钥管理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CD17F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可用性 ≥ 99.5%，RPO ≤ 24 小时</w:t>
            </w:r>
          </w:p>
        </w:tc>
      </w:tr>
    </w:tbl>
    <w:p w14:paraId="71FF64D3">
      <w:pPr>
        <w:spacing w:after="40"/>
      </w:pPr>
    </w:p>
    <w:p w14:paraId="36AD95A2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5.2 数据治理与隐私保护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1CA24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B4FDF3F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控制点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D855D9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要求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589AF23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责任人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01855B6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检查频率</w:t>
            </w:r>
          </w:p>
        </w:tc>
      </w:tr>
      <w:tr w14:paraId="4BDB0F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D4E00A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数据分类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3427A8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将身份、健康、支付、服务评价按敏感级别分层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CA97C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数据负责人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B42C06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上线前及季度复核</w:t>
            </w:r>
          </w:p>
        </w:tc>
      </w:tr>
      <w:tr w14:paraId="73E96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9CB11F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最小化采集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2FED52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只收集完成服务和安全响应所必需的信息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184E6F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产品负责人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572631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每次需求评审</w:t>
            </w:r>
          </w:p>
        </w:tc>
      </w:tr>
      <w:tr w14:paraId="336A64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945DA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授权管理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E48335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老人、家属、社区、机构按角色和场景授权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3782CB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安全负责人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84D5AC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月度抽查</w:t>
            </w:r>
          </w:p>
        </w:tc>
      </w:tr>
      <w:tr w14:paraId="204561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2C5EB0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访问审计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AFDB35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导出、查看、修改敏感信息必须留痕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312BA0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平台运维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1F210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周度告警、月度复盘</w:t>
            </w:r>
          </w:p>
        </w:tc>
      </w:tr>
      <w:tr w14:paraId="6C34E6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663644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生命周期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99916F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明确保存期限、注销、删除和备份策略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13FF57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法务与数据负责人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4090E2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半年审查</w:t>
            </w:r>
          </w:p>
        </w:tc>
      </w:tr>
    </w:tbl>
    <w:p w14:paraId="4C275741">
      <w:pPr>
        <w:spacing w:after="40"/>
      </w:pPr>
    </w:p>
    <w:p w14:paraId="7684197D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5.3 非功能指标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37"/>
        <w:gridCol w:w="3137"/>
        <w:gridCol w:w="3137"/>
      </w:tblGrid>
      <w:tr w14:paraId="4BBD39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73FC126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指标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75B50B3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一期目标</w:t>
            </w:r>
          </w:p>
        </w:tc>
        <w:tc>
          <w:tcPr>
            <w:tcW w:w="385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B964E29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测量方式</w:t>
            </w:r>
          </w:p>
        </w:tc>
      </w:tr>
      <w:tr w14:paraId="5A5C4A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BFF75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核心页面响应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21D19D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95 分位 ≤ 2 秒</w:t>
            </w:r>
          </w:p>
        </w:tc>
        <w:tc>
          <w:tcPr>
            <w:tcW w:w="385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E616F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压测与线上监控</w:t>
            </w:r>
          </w:p>
        </w:tc>
      </w:tr>
      <w:tr w14:paraId="1801C5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2CB468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订单状态一致性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60AC1F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关键状态一致率 100%</w:t>
            </w:r>
          </w:p>
        </w:tc>
        <w:tc>
          <w:tcPr>
            <w:tcW w:w="385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5772E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抽样回放与对账</w:t>
            </w:r>
          </w:p>
        </w:tc>
      </w:tr>
      <w:tr w14:paraId="6D266A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51C31D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告警响应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A35315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系统告警 1 分钟内入队，人工 10 分钟内确认</w:t>
            </w:r>
          </w:p>
        </w:tc>
        <w:tc>
          <w:tcPr>
            <w:tcW w:w="385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9FDC0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演练记录</w:t>
            </w:r>
          </w:p>
        </w:tc>
      </w:tr>
      <w:tr w14:paraId="2DCD92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046E6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数据备份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96D77C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每日全量、关键库实时/准实时备份</w:t>
            </w:r>
          </w:p>
        </w:tc>
        <w:tc>
          <w:tcPr>
            <w:tcW w:w="385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C529D3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恢复演练</w:t>
            </w:r>
          </w:p>
        </w:tc>
      </w:tr>
      <w:tr w14:paraId="70978E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C2565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可用性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8BE06E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月度核心服务 ≥ 99.5%</w:t>
            </w:r>
          </w:p>
        </w:tc>
        <w:tc>
          <w:tcPr>
            <w:tcW w:w="385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95FD8F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监控平台统计</w:t>
            </w:r>
          </w:p>
        </w:tc>
      </w:tr>
    </w:tbl>
    <w:p w14:paraId="2E152126">
      <w:pPr>
        <w:spacing w:after="40"/>
      </w:pPr>
    </w:p>
    <w:p w14:paraId="4AAF1365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5.4 技术路线取舍</w:t>
      </w:r>
    </w:p>
    <w:p w14:paraId="144B88B8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首期不建议自研复杂 AI 诊断、全量视频识别或高成本机器人。与养老业务直接相关的智能化，应先服务于“分诊、提醒、异常摘要、运营分析”四类低风险场景，并保留人工复核。设备接入采取白名单制，先验证告警质量和响应闭环，再考虑扩大品类。</w:t>
      </w:r>
    </w:p>
    <w:p w14:paraId="2613F504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六 商业模式与增长路径</w:t>
      </w:r>
    </w:p>
    <w:p w14:paraId="7F9DC2D4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6.1 收入结构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2"/>
        <w:gridCol w:w="1882"/>
        <w:gridCol w:w="1882"/>
        <w:gridCol w:w="1882"/>
        <w:gridCol w:w="1882"/>
      </w:tblGrid>
      <w:tr w14:paraId="1DCBD8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918B8B4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收入来源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A1F745E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收费对象</w:t>
            </w:r>
          </w:p>
        </w:tc>
        <w:tc>
          <w:tcPr>
            <w:tcW w:w="215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613A0B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计费方式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8BE78E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演示占比（第 3 年）</w:t>
            </w:r>
          </w:p>
        </w:tc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D99886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关键条件</w:t>
            </w:r>
          </w:p>
        </w:tc>
      </w:tr>
      <w:tr w14:paraId="7CAF8D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52C727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个人服务费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8C25EE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老人及家属</w:t>
            </w:r>
          </w:p>
        </w:tc>
        <w:tc>
          <w:tcPr>
            <w:tcW w:w="215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231A5B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按次、套餐、订阅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5CB00A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45%</w:t>
            </w:r>
          </w:p>
        </w:tc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DE9E72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服务体验稳定、复购可见</w:t>
            </w:r>
          </w:p>
        </w:tc>
      </w:tr>
      <w:tr w14:paraId="388B61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D2D2D1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政府项目服务费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96F88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街道/主管部门</w:t>
            </w:r>
          </w:p>
        </w:tc>
        <w:tc>
          <w:tcPr>
            <w:tcW w:w="215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E65BE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按项目、按人次或绩效结算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0BEA8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30%</w:t>
            </w:r>
          </w:p>
        </w:tc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D0048D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指标可审计、预算周期匹配</w:t>
            </w:r>
          </w:p>
        </w:tc>
      </w:tr>
      <w:tr w14:paraId="6363FA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4BBD98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机构服务管理费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A3A3D0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合作机构</w:t>
            </w:r>
          </w:p>
        </w:tc>
        <w:tc>
          <w:tcPr>
            <w:tcW w:w="215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11F688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按订单或结算金额抽佣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9239F4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15%</w:t>
            </w:r>
          </w:p>
        </w:tc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5BFEF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平台带来增量订单</w:t>
            </w:r>
          </w:p>
        </w:tc>
      </w:tr>
      <w:tr w14:paraId="5018D3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F233A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增值服务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83A255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保险、康复、适老改造合作方</w:t>
            </w:r>
          </w:p>
        </w:tc>
        <w:tc>
          <w:tcPr>
            <w:tcW w:w="215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1C69C1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按转介或项目分成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48D9F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10%</w:t>
            </w:r>
          </w:p>
        </w:tc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4B015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合规披露、避免误导销售</w:t>
            </w:r>
          </w:p>
        </w:tc>
      </w:tr>
    </w:tbl>
    <w:p w14:paraId="1A9E2A26">
      <w:pPr>
        <w:spacing w:after="40"/>
      </w:pPr>
    </w:p>
    <w:p w14:paraId="54EBA4EA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6.2 定价原则</w:t>
      </w:r>
    </w:p>
    <w:p w14:paraId="012AF708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服务价格透明：基础服务按次标价，套餐只对频次和权益做折扣，不隐藏额外费用。</w:t>
      </w:r>
    </w:p>
    <w:p w14:paraId="5C2EB667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安全成本单列：高风险服务必须包含必要的人员资质、保险和复核成本，不能用低价竞争。</w:t>
      </w:r>
    </w:p>
    <w:p w14:paraId="1DD665DD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政府项目按绩效结算：覆盖率、履约率、满意度和安全事件均纳入项目考核，避免只按注册量付费。</w:t>
      </w:r>
    </w:p>
    <w:p w14:paraId="3604D3BD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对困难老人建立补贴机制：建议将政府购买服务或公益基金用于减免，而不是由机构隐性承担。</w:t>
      </w:r>
    </w:p>
    <w:p w14:paraId="5BAB5748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6.3 单位经济模型（演示）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2"/>
        <w:gridCol w:w="1882"/>
        <w:gridCol w:w="1882"/>
        <w:gridCol w:w="1882"/>
        <w:gridCol w:w="1882"/>
      </w:tblGrid>
      <w:tr w14:paraId="7556C8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CEAA1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指标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E5DF86E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定义</w:t>
            </w:r>
          </w:p>
        </w:tc>
        <w:tc>
          <w:tcPr>
            <w:tcW w:w="13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6F431A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首期目标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3315011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第 3 年目标</w:t>
            </w:r>
          </w:p>
        </w:tc>
        <w:tc>
          <w:tcPr>
            <w:tcW w:w="221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888B90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备注</w:t>
            </w:r>
          </w:p>
        </w:tc>
      </w:tr>
      <w:tr w14:paraId="7F9FB0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879885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客单价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D622ED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单次服务平均收入</w:t>
            </w:r>
          </w:p>
        </w:tc>
        <w:tc>
          <w:tcPr>
            <w:tcW w:w="13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B2003C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90 元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47B7D1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105 元</w:t>
            </w:r>
          </w:p>
        </w:tc>
        <w:tc>
          <w:tcPr>
            <w:tcW w:w="221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634F26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不同服务品类加权平均</w:t>
            </w:r>
          </w:p>
        </w:tc>
      </w:tr>
      <w:tr w14:paraId="174D65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9254A4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履约成本率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EA525C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服务人员、交通、耗材等 / 收入</w:t>
            </w:r>
          </w:p>
        </w:tc>
        <w:tc>
          <w:tcPr>
            <w:tcW w:w="13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34948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≤ 58%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54C9A5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≤ 38%</w:t>
            </w:r>
          </w:p>
        </w:tc>
        <w:tc>
          <w:tcPr>
            <w:tcW w:w="221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BD6E3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靠调度密度和机构分层改善</w:t>
            </w:r>
          </w:p>
        </w:tc>
      </w:tr>
      <w:tr w14:paraId="358C08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47EE6C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获客成本 CAC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BA8A5C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新增付费家庭的市场和触达成本</w:t>
            </w:r>
          </w:p>
        </w:tc>
        <w:tc>
          <w:tcPr>
            <w:tcW w:w="13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56AD2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≤ 260 元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2D8277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≤ 150 元</w:t>
            </w:r>
          </w:p>
        </w:tc>
        <w:tc>
          <w:tcPr>
            <w:tcW w:w="221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6EA6C4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社区转介比例提升后下降</w:t>
            </w:r>
          </w:p>
        </w:tc>
      </w:tr>
      <w:tr w14:paraId="786C15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87660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月复购率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DC1092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当月再次购买服务的付费家庭比例</w:t>
            </w:r>
          </w:p>
        </w:tc>
        <w:tc>
          <w:tcPr>
            <w:tcW w:w="13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5F260E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≥ 35%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41750E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≥ 50%</w:t>
            </w:r>
          </w:p>
        </w:tc>
        <w:tc>
          <w:tcPr>
            <w:tcW w:w="221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36D08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按服务品类分层统计</w:t>
            </w:r>
          </w:p>
        </w:tc>
      </w:tr>
      <w:tr w14:paraId="1662E7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D021EA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投诉率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8D9EB7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有效投诉订单 / 完成订单</w:t>
            </w:r>
          </w:p>
        </w:tc>
        <w:tc>
          <w:tcPr>
            <w:tcW w:w="13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BF82D3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≤ 2.5%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F72777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≤ 1.5%</w:t>
            </w:r>
          </w:p>
        </w:tc>
        <w:tc>
          <w:tcPr>
            <w:tcW w:w="221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0188CC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高风险场景单独监控</w:t>
            </w:r>
          </w:p>
        </w:tc>
      </w:tr>
    </w:tbl>
    <w:p w14:paraId="267DD255">
      <w:pPr>
        <w:spacing w:after="40"/>
      </w:pPr>
    </w:p>
    <w:p w14:paraId="3AB0E025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6.4 增长飞轮</w:t>
      </w:r>
    </w:p>
    <w:p w14:paraId="37F285FE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社区触达带来首批需求，标准化服务提升履约和信任，信任提高复购与转介绍，订单密度降低机构排班和获客成本，服务过程数据又帮助社区和主管部门获得更好的绩效结果。增长的关键不是投放规模，而是每个社区能否形成“可信服务供给 + 稳定需求 + 可量化结果”的小闭环。</w:t>
      </w:r>
    </w:p>
    <w:p w14:paraId="797BC594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七 市场进入与运营体系</w:t>
      </w:r>
    </w:p>
    <w:p w14:paraId="5A0E9E7B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7.1 试点进入策略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0DA1D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CB70622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阶段</w:t>
            </w:r>
          </w:p>
        </w:tc>
        <w:tc>
          <w:tcPr>
            <w:tcW w:w="368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AB53E4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主要动作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09EED6E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目标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1BC0A7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退出/升级条件</w:t>
            </w:r>
          </w:p>
        </w:tc>
      </w:tr>
      <w:tr w14:paraId="21362B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749909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准备期</w:t>
            </w:r>
          </w:p>
        </w:tc>
        <w:tc>
          <w:tcPr>
            <w:tcW w:w="368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CC328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街道共创、需求盘点、机构招募、服务标准确认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29796D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完成 8 个社区基础画像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80E91A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每个社区至少 10 家可用机构或服务团队</w:t>
            </w:r>
          </w:p>
        </w:tc>
      </w:tr>
      <w:tr w14:paraId="471BC9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57474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冷启动期</w:t>
            </w:r>
          </w:p>
        </w:tc>
        <w:tc>
          <w:tcPr>
            <w:tcW w:w="368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701623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社区活动、电话回访、重点老人建档、首单陪跑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EE961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积累 500 名活跃老人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2EC178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首月完成订单 ≥ 300 单</w:t>
            </w:r>
          </w:p>
        </w:tc>
      </w:tr>
      <w:tr w14:paraId="70502C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688BF8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稳定期</w:t>
            </w:r>
          </w:p>
        </w:tc>
        <w:tc>
          <w:tcPr>
            <w:tcW w:w="368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A12ACD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套餐、家属传播、机构评分、服务复盘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1D94E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建立月度复购和口碑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C43B0E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履约率 ≥ 92%，投诉率 ≤ 2.5%</w:t>
            </w:r>
          </w:p>
        </w:tc>
      </w:tr>
      <w:tr w14:paraId="65E0AE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0D4F0D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扩围期</w:t>
            </w:r>
          </w:p>
        </w:tc>
        <w:tc>
          <w:tcPr>
            <w:tcW w:w="368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6D4D69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复制手册、培训认证、街道看板、项目结算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ADF407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复制到更多社区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3C197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连续 2 个月达到阶段闸门</w:t>
            </w:r>
          </w:p>
        </w:tc>
      </w:tr>
    </w:tbl>
    <w:p w14:paraId="34029CD3">
      <w:pPr>
        <w:spacing w:after="40"/>
      </w:pPr>
    </w:p>
    <w:p w14:paraId="78FAE5F1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7.2 运营组织与 SOP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2"/>
        <w:gridCol w:w="1882"/>
        <w:gridCol w:w="1882"/>
        <w:gridCol w:w="1882"/>
        <w:gridCol w:w="1882"/>
      </w:tblGrid>
      <w:tr w14:paraId="73865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19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15AFC6A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工作流</w:t>
            </w:r>
          </w:p>
        </w:tc>
        <w:tc>
          <w:tcPr>
            <w:tcW w:w="24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5502DC3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输入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577199E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动作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0B5207D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输出</w:t>
            </w:r>
          </w:p>
        </w:tc>
        <w:tc>
          <w:tcPr>
            <w:tcW w:w="119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1195476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负责人</w:t>
            </w:r>
          </w:p>
        </w:tc>
      </w:tr>
      <w:tr w14:paraId="701605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9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843E7A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需求受理</w:t>
            </w:r>
          </w:p>
        </w:tc>
        <w:tc>
          <w:tcPr>
            <w:tcW w:w="24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8C22A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电话、社区转介、线上下单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DAD776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确认人群、服务、时间和风险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0F65BB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标准订单</w:t>
            </w:r>
          </w:p>
        </w:tc>
        <w:tc>
          <w:tcPr>
            <w:tcW w:w="119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B4F109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客服/社区运营</w:t>
            </w:r>
          </w:p>
        </w:tc>
      </w:tr>
      <w:tr w14:paraId="70F9E2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9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591F4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派单排班</w:t>
            </w:r>
          </w:p>
        </w:tc>
        <w:tc>
          <w:tcPr>
            <w:tcW w:w="24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E4639B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订单、人员、距离、能力标签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B6714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匹配、确认、改派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0BD4DC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履约计划</w:t>
            </w:r>
          </w:p>
        </w:tc>
        <w:tc>
          <w:tcPr>
            <w:tcW w:w="119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01CCF9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调度专员</w:t>
            </w:r>
          </w:p>
        </w:tc>
      </w:tr>
      <w:tr w14:paraId="138B56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9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B770F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服务执行</w:t>
            </w:r>
          </w:p>
        </w:tc>
        <w:tc>
          <w:tcPr>
            <w:tcW w:w="24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EBF3D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工单、SOP、授权信息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6B8E6C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签到、服务、拍照/签字（按需）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D41D9D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服务凭证</w:t>
            </w:r>
          </w:p>
        </w:tc>
        <w:tc>
          <w:tcPr>
            <w:tcW w:w="119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B58749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服务人员</w:t>
            </w:r>
          </w:p>
        </w:tc>
      </w:tr>
      <w:tr w14:paraId="1B23E4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9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C26FE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异常处理</w:t>
            </w:r>
          </w:p>
        </w:tc>
        <w:tc>
          <w:tcPr>
            <w:tcW w:w="24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00297F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迟到、取消、风险告警、投诉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5FA78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分级、升级、回访和补救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799919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闭环记录</w:t>
            </w:r>
          </w:p>
        </w:tc>
        <w:tc>
          <w:tcPr>
            <w:tcW w:w="119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CA9FE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运营经理</w:t>
            </w:r>
          </w:p>
        </w:tc>
      </w:tr>
      <w:tr w14:paraId="58F314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9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D9DC48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结算复盘</w:t>
            </w:r>
          </w:p>
        </w:tc>
        <w:tc>
          <w:tcPr>
            <w:tcW w:w="24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00EBF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完成订单、评价、异常数据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6AA437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对账、付款、评分、复训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916E0A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月度运营报告</w:t>
            </w:r>
          </w:p>
        </w:tc>
        <w:tc>
          <w:tcPr>
            <w:tcW w:w="119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E23EDF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财务/质量负责人</w:t>
            </w:r>
          </w:p>
        </w:tc>
      </w:tr>
    </w:tbl>
    <w:p w14:paraId="07CEB522">
      <w:pPr>
        <w:spacing w:after="40"/>
      </w:pPr>
    </w:p>
    <w:p w14:paraId="4224251F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7.3 核心运营指标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2"/>
        <w:gridCol w:w="1882"/>
        <w:gridCol w:w="1882"/>
        <w:gridCol w:w="1882"/>
        <w:gridCol w:w="1882"/>
      </w:tblGrid>
      <w:tr w14:paraId="6CC2A6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A6AB57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指标组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ADC4A8F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指标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80C651C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试点目标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699531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预警线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219C6CD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改进动作</w:t>
            </w:r>
          </w:p>
        </w:tc>
      </w:tr>
      <w:tr w14:paraId="0A1787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3FC257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覆盖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56D44E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重点老人建档率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94C199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≥ 70%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2669B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&lt; 55%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43684C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增加入户和社区代办</w:t>
            </w:r>
          </w:p>
        </w:tc>
      </w:tr>
      <w:tr w14:paraId="67E8B8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E2DFFA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活跃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AFBFD5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月活跃付费家庭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1D1ED5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≥ 35%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8288BF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&lt; 25%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0FB2A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优化高频服务和套餐</w:t>
            </w:r>
          </w:p>
        </w:tc>
      </w:tr>
      <w:tr w14:paraId="442395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3A35B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履约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904C9A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准时履约率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7B9FEC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≥ 92%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765743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&lt; 85%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C529BD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优化半径、排班和机构等级</w:t>
            </w:r>
          </w:p>
        </w:tc>
      </w:tr>
      <w:tr w14:paraId="7D8C9A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D91032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质量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28B1BB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有效投诉率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280B48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≤ 2.5%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35E78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&gt; 4%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45BF78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专项复盘、限单、复训</w:t>
            </w:r>
          </w:p>
        </w:tc>
      </w:tr>
      <w:tr w14:paraId="01BFAC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737EAC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安全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069F0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高风险事件闭环率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5D6A59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100%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B83FC9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&lt; 100%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FCD6A9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升级责任人并暂停扩围</w:t>
            </w:r>
          </w:p>
        </w:tc>
      </w:tr>
      <w:tr w14:paraId="4AD083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50C0E3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财务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95672F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单社区月贡献毛利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B1B9B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转正前持续改善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ACB81D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连续 2 月恶化</w:t>
            </w:r>
          </w:p>
        </w:tc>
        <w:tc>
          <w:tcPr>
            <w:tcW w:w="300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4FCCA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调整服务结构和补贴策略</w:t>
            </w:r>
          </w:p>
        </w:tc>
      </w:tr>
    </w:tbl>
    <w:p w14:paraId="0A2A7AC0">
      <w:pPr>
        <w:spacing w:after="40"/>
      </w:pPr>
    </w:p>
    <w:p w14:paraId="2889F496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7.4 服务质量与供应商管理</w:t>
      </w:r>
    </w:p>
    <w:p w14:paraId="7F02C32E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合作机构采用“准入—试用—分级—复审—退出”五段式管理。准入阶段核验主体、人员、保险和服务能力；试用阶段只开放低风险订单；分级依据履约、投诉、异常响应和用户评价；复审按季度进行；出现重大安全事件、资质失效或数据违规时，立即暂停接单并启动退出。</w:t>
      </w:r>
    </w:p>
    <w:p w14:paraId="7E093A1A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八 组织配置与项目治理</w:t>
      </w:r>
    </w:p>
    <w:p w14:paraId="53332ECC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8.1 建议组织结构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69FA21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65ACD9F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团队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7D4789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首期人数</w:t>
            </w:r>
          </w:p>
        </w:tc>
        <w:tc>
          <w:tcPr>
            <w:tcW w:w="408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0AFF29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主要职责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04C6FB3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关键交付</w:t>
            </w:r>
          </w:p>
        </w:tc>
      </w:tr>
      <w:tr w14:paraId="22A1DC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E6B048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项目管理办公室 PMO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AA4ED0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3</w:t>
            </w:r>
          </w:p>
        </w:tc>
        <w:tc>
          <w:tcPr>
            <w:tcW w:w="408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6083F3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计划、预算、跨方协调、阶段评审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54AB7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里程碑、周报、风险台账</w:t>
            </w:r>
          </w:p>
        </w:tc>
      </w:tr>
      <w:tr w14:paraId="0BFE71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B315F5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产品与设计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B86B7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4</w:t>
            </w:r>
          </w:p>
        </w:tc>
        <w:tc>
          <w:tcPr>
            <w:tcW w:w="408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47FF2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需求、流程、体验、服务标准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4F6B6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PRD、原型、服务目录、SOP</w:t>
            </w:r>
          </w:p>
        </w:tc>
      </w:tr>
      <w:tr w14:paraId="3F83B6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F0C5B4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研发与数据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52EE7F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9</w:t>
            </w:r>
          </w:p>
        </w:tc>
        <w:tc>
          <w:tcPr>
            <w:tcW w:w="408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31658D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前后端、测试、运维、数据与安全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8F3839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平台版本、监控、数据字典</w:t>
            </w:r>
          </w:p>
        </w:tc>
      </w:tr>
      <w:tr w14:paraId="7C6453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F89A9D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运营与社区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1B3BD5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12</w:t>
            </w:r>
          </w:p>
        </w:tc>
        <w:tc>
          <w:tcPr>
            <w:tcW w:w="408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966780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社区拓展、客服、调度、培训、质控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03E435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试点运营、服务履约、复盘</w:t>
            </w:r>
          </w:p>
        </w:tc>
      </w:tr>
      <w:tr w14:paraId="3DE5E0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07F36D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商务与合规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FE8E4B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3</w:t>
            </w:r>
          </w:p>
        </w:tc>
        <w:tc>
          <w:tcPr>
            <w:tcW w:w="408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2F122F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机构合作、采购、合同、隐私和法务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423709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合作协议、合规清单、审计材料</w:t>
            </w:r>
          </w:p>
        </w:tc>
      </w:tr>
    </w:tbl>
    <w:p w14:paraId="33BB9F55">
      <w:pPr>
        <w:spacing w:after="40"/>
      </w:pPr>
    </w:p>
    <w:p w14:paraId="4617946A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8.2 关键角色职责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5E10D1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E63497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角色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832846A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决策权</w:t>
            </w:r>
          </w:p>
        </w:tc>
        <w:tc>
          <w:tcPr>
            <w:tcW w:w="31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A4EB818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必须承担的责任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94C6EBB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不应承担的责任</w:t>
            </w:r>
          </w:p>
        </w:tc>
      </w:tr>
      <w:tr w14:paraId="24C341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3D538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项目发起人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83EF2D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预算、范围、阶段闸门</w:t>
            </w:r>
          </w:p>
        </w:tc>
        <w:tc>
          <w:tcPr>
            <w:tcW w:w="31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6930B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确保资源与跨部门协调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04F5B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不越过专业团队直接改需求</w:t>
            </w:r>
          </w:p>
        </w:tc>
      </w:tr>
      <w:tr w14:paraId="5C86C3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9E0022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产品负责人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847F87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功能优先级、体验与流程</w:t>
            </w:r>
          </w:p>
        </w:tc>
        <w:tc>
          <w:tcPr>
            <w:tcW w:w="31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40C07D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对用户价值和交付范围负责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4267C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不单独承诺业务结果</w:t>
            </w:r>
          </w:p>
        </w:tc>
      </w:tr>
      <w:tr w14:paraId="2D03A0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6EB229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运营负责人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333F84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服务标准、机构分级、现场处置</w:t>
            </w:r>
          </w:p>
        </w:tc>
        <w:tc>
          <w:tcPr>
            <w:tcW w:w="31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53C04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对履约、安全和满意度负责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B2A67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不绕过合规进行数据导出</w:t>
            </w:r>
          </w:p>
        </w:tc>
      </w:tr>
      <w:tr w14:paraId="0D072F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2BAEFC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技术负责人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159C95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架构、质量、安全技术方案</w:t>
            </w:r>
          </w:p>
        </w:tc>
        <w:tc>
          <w:tcPr>
            <w:tcW w:w="31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926C6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对可用性、数据和交付质量负责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36DBA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不以技术复杂度替代业务验证</w:t>
            </w:r>
          </w:p>
        </w:tc>
      </w:tr>
      <w:tr w14:paraId="43C712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326983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合规负责人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F3779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隐私、合同、数据使用审批</w:t>
            </w:r>
          </w:p>
        </w:tc>
        <w:tc>
          <w:tcPr>
            <w:tcW w:w="31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AF211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对合规红线和证据留存负责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D83BB6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不替代业务团队做商业决策</w:t>
            </w:r>
          </w:p>
        </w:tc>
      </w:tr>
    </w:tbl>
    <w:p w14:paraId="123915F3">
      <w:pPr>
        <w:spacing w:after="40"/>
      </w:pPr>
    </w:p>
    <w:p w14:paraId="0F15822A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8.3 治理节奏</w:t>
      </w:r>
    </w:p>
    <w:p w14:paraId="7583FE6F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每日：运营中心处理异常订单和高风险告警，形成当日闭环清单。</w:t>
      </w:r>
    </w:p>
    <w:p w14:paraId="63373AFC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每周：项目组复盘指标、用户反馈、版本质量和风险台账，确认下周工作。</w:t>
      </w:r>
    </w:p>
    <w:p w14:paraId="3DCF61EB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每月：项目发起人审阅预算、里程碑和社区经营结果，必要时调整资源。</w:t>
      </w:r>
    </w:p>
    <w:p w14:paraId="42F43F26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每季度：进行阶段评估、合作机构复审和数据/隐私检查，决定是否扩围。</w:t>
      </w:r>
    </w:p>
    <w:p w14:paraId="26F6462C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8.4 RACI 责任矩阵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"/>
        <w:gridCol w:w="1569"/>
        <w:gridCol w:w="1569"/>
        <w:gridCol w:w="1569"/>
        <w:gridCol w:w="1569"/>
        <w:gridCol w:w="1569"/>
      </w:tblGrid>
      <w:tr w14:paraId="556B03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72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557D8E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工作项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34E30F2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项目发起人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30260BB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产品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CC6A12D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技术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AE75418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运营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FD05852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合规</w:t>
            </w:r>
          </w:p>
        </w:tc>
      </w:tr>
      <w:tr w14:paraId="4F957C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2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182BB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范围与预算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CFBE9F1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A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FE2977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59F912A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0A853D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D1FF8E2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</w:tr>
      <w:tr w14:paraId="2803A4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2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272B10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MVP 需求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A114B82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8026EB9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A/R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8E48C89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C9767AE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C8C609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</w:tr>
      <w:tr w14:paraId="0EC12E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2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8394F0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上线发布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448BC5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A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06B30CF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R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C36298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R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E596FBF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A392AA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</w:tr>
      <w:tr w14:paraId="646D9C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2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9C8D02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服务准入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D949E7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815AEE8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6CA99A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I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764478B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A/R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4A2144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</w:tr>
      <w:tr w14:paraId="5979D6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2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9B7380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重大安全事件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4570D30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A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149A16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401F09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R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1DFFF6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R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04C57A9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</w:tr>
      <w:tr w14:paraId="047D26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2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BBAA73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扩围决策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A47BCD3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A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3CBA39F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0D21A0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4D768CB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R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7AA8742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C</w:t>
            </w:r>
          </w:p>
        </w:tc>
      </w:tr>
    </w:tbl>
    <w:p w14:paraId="5913DFBB">
      <w:pPr>
        <w:spacing w:after="40"/>
      </w:pPr>
    </w:p>
    <w:p w14:paraId="08AE41EA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注：R = Responsible（执行负责），A = Accountable（最终负责），C = Consulted（协商），I = Informed（知会）。</w:t>
      </w:r>
    </w:p>
    <w:p w14:paraId="671EC47E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九 投资预算与财务测算</w:t>
      </w:r>
    </w:p>
    <w:p w14:paraId="581865F3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9.1 建设预算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5F30D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E17717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预算项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B417DC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金额（万元）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3163512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占比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F47E4E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用途说明</w:t>
            </w:r>
          </w:p>
        </w:tc>
      </w:tr>
      <w:tr w14:paraId="7C7835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8EE74E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产品与研发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602E82D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260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00D020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26.5%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38753A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需求、设计、前后端、测试、项目管理</w:t>
            </w:r>
          </w:p>
        </w:tc>
      </w:tr>
      <w:tr w14:paraId="56C35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AF73DC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设备与系统集成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C81CCC3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180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5925AEC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18.4%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43F0BA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基础设备、接口、试点终端和部署</w:t>
            </w:r>
          </w:p>
        </w:tc>
      </w:tr>
      <w:tr w14:paraId="7A6DD4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283DB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安全与合规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28BE360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120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C9CC35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12.2%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44F61D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等保/安全评估、隐私治理、审计与保险</w:t>
            </w:r>
          </w:p>
        </w:tc>
      </w:tr>
      <w:tr w14:paraId="209975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2C91C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试点运营准备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F079825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220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9B21DE2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22.4%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839743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社区拓展、培训、客服调度和服务补贴</w:t>
            </w:r>
          </w:p>
        </w:tc>
      </w:tr>
      <w:tr w14:paraId="287D5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3CB0F3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市场与用户教育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DA6E943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80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239E9A1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8.2%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E2EAF3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社区活动、物料、用户教育和内容</w:t>
            </w:r>
          </w:p>
        </w:tc>
      </w:tr>
      <w:tr w14:paraId="7238F6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E0CB18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预备费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BC54025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120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EED27B0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12.2%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7C721B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需求变化、价格波动和不可预见支出</w:t>
            </w:r>
          </w:p>
        </w:tc>
      </w:tr>
      <w:tr w14:paraId="0AC2C9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503C8D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合计</w:t>
            </w:r>
          </w:p>
        </w:tc>
        <w:tc>
          <w:tcPr>
            <w:tcW w:w="15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3466D6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980</w:t>
            </w:r>
          </w:p>
        </w:tc>
        <w:tc>
          <w:tcPr>
            <w:tcW w:w="147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946492D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100%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33126D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首期一次性建设投入上限</w:t>
            </w:r>
          </w:p>
        </w:tc>
      </w:tr>
    </w:tbl>
    <w:p w14:paraId="256A3152">
      <w:pPr>
        <w:spacing w:after="40"/>
      </w:pPr>
    </w:p>
    <w:p w14:paraId="71F1232C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9.2 首年运营预算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37"/>
        <w:gridCol w:w="3137"/>
        <w:gridCol w:w="3137"/>
      </w:tblGrid>
      <w:tr w14:paraId="20FA50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6DEB22C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8"/>
              </w:rPr>
              <w:t>预算项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09D2B18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8"/>
              </w:rPr>
              <w:t>金额（万元）</w:t>
            </w:r>
          </w:p>
        </w:tc>
        <w:tc>
          <w:tcPr>
            <w:tcW w:w="470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EF18E7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8"/>
              </w:rPr>
              <w:t>说明</w:t>
            </w:r>
          </w:p>
        </w:tc>
      </w:tr>
      <w:tr w14:paraId="413E33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D0FD67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人员与外包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32515D6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420</w:t>
            </w:r>
          </w:p>
        </w:tc>
        <w:tc>
          <w:tcPr>
            <w:tcW w:w="470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3C40A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产品、研发、运营、客服、调度与部分专业服务</w:t>
            </w:r>
          </w:p>
        </w:tc>
      </w:tr>
      <w:tr w14:paraId="36FC2C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675A01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云资源与软件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F46616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90</w:t>
            </w:r>
          </w:p>
        </w:tc>
        <w:tc>
          <w:tcPr>
            <w:tcW w:w="470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5031EC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计算、存储、短信、地图、监控和协作工具</w:t>
            </w:r>
          </w:p>
        </w:tc>
      </w:tr>
      <w:tr w14:paraId="4C40C8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B7688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社区服务中心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D421752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80</w:t>
            </w:r>
          </w:p>
        </w:tc>
        <w:tc>
          <w:tcPr>
            <w:tcW w:w="470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4123DE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场地、热线、培训、活动和物料</w:t>
            </w:r>
          </w:p>
        </w:tc>
      </w:tr>
      <w:tr w14:paraId="1002FB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C17E3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市场与用户激励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A798A9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80</w:t>
            </w:r>
          </w:p>
        </w:tc>
        <w:tc>
          <w:tcPr>
            <w:tcW w:w="470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2D4410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首单补贴、转介奖励、活动和内容</w:t>
            </w:r>
          </w:p>
        </w:tc>
      </w:tr>
      <w:tr w14:paraId="33914A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23067C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行政与管理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7EDEEC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50</w:t>
            </w:r>
          </w:p>
        </w:tc>
        <w:tc>
          <w:tcPr>
            <w:tcW w:w="470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1598C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差旅、财务、审计和办公</w:t>
            </w:r>
          </w:p>
        </w:tc>
      </w:tr>
      <w:tr w14:paraId="454767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95032E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合计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D9380A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720</w:t>
            </w:r>
          </w:p>
        </w:tc>
        <w:tc>
          <w:tcPr>
            <w:tcW w:w="470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4F556A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首年运营费用预算</w:t>
            </w:r>
          </w:p>
        </w:tc>
      </w:tr>
    </w:tbl>
    <w:p w14:paraId="024E0165">
      <w:pPr>
        <w:spacing w:after="40"/>
      </w:pPr>
    </w:p>
    <w:p w14:paraId="69F43043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9.3 三年收入与利润测算（演示）</w:t>
      </w:r>
    </w:p>
    <w:p w14:paraId="3A372474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以下测算不代表承诺，主要用于比较经营逻辑。假设平台收入来自个人服务、政府项目、机构管理费和增值服务；履约成本率随订单密度、服务结构和调度效率改善而下降。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2"/>
        <w:gridCol w:w="1882"/>
        <w:gridCol w:w="1882"/>
        <w:gridCol w:w="1882"/>
        <w:gridCol w:w="1882"/>
      </w:tblGrid>
      <w:tr w14:paraId="48882D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12D1FE4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项目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A0E257B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第 1 年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6661F21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第 2 年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1E6C714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第 3 年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CE0E70B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第 4 年</w:t>
            </w:r>
          </w:p>
        </w:tc>
      </w:tr>
      <w:tr w14:paraId="449893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CBF8A8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覆盖社区数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A47E1F3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8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00215D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24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84A9F9B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55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2175106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90</w:t>
            </w:r>
          </w:p>
        </w:tc>
      </w:tr>
      <w:tr w14:paraId="7FFDCA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E117D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付费家庭数（年末）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2DD38BE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2,000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B469271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8,000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742CE30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18,000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2C50FF4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30,000</w:t>
            </w:r>
          </w:p>
        </w:tc>
      </w:tr>
      <w:tr w14:paraId="2EF385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65C6DD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平台收入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A9A2D1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380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DD41628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1,280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B9A787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2,860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71A85A4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4,880</w:t>
            </w:r>
          </w:p>
        </w:tc>
      </w:tr>
      <w:tr w14:paraId="154D0C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1DE0CC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履约及变动成本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6AA63F2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144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F7CD07E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486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1F4C77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1,087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909B1E0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1,854</w:t>
            </w:r>
          </w:p>
        </w:tc>
      </w:tr>
      <w:tr w14:paraId="056154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126ADC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固定运营费用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20238E6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720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88ACC47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780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EB7A40F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860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AD52E1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960</w:t>
            </w:r>
          </w:p>
        </w:tc>
      </w:tr>
      <w:tr w14:paraId="26F4D9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00AD46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经营性利润（EBITDA 口径）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D7CCDD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-484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431F109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14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4A275F9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913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21B3D70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2,066</w:t>
            </w:r>
          </w:p>
        </w:tc>
      </w:tr>
      <w:tr w14:paraId="230016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F85E7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经营性利润率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33C29DA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-127.4%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ECC9ED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1.1%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DFB5E0B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31.9%</w:t>
            </w:r>
          </w:p>
        </w:tc>
        <w:tc>
          <w:tcPr>
            <w:tcW w:w="13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8D8B0CA">
            <w:pPr>
              <w:spacing w:before="0" w:after="0" w:line="259" w:lineRule="auto"/>
              <w:jc w:val="center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42.3%</w:t>
            </w:r>
          </w:p>
        </w:tc>
      </w:tr>
    </w:tbl>
    <w:p w14:paraId="42210B44">
      <w:pPr>
        <w:spacing w:after="40"/>
      </w:pPr>
    </w:p>
    <w:p w14:paraId="744631F3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9.4 现金流与回收期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01161C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D907E66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阶段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73039B2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现金流假设</w:t>
            </w:r>
          </w:p>
        </w:tc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F03FA0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累计现金影响（万元）</w:t>
            </w:r>
          </w:p>
        </w:tc>
        <w:tc>
          <w:tcPr>
            <w:tcW w:w="215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7F3A85C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管理含义</w:t>
            </w:r>
          </w:p>
        </w:tc>
      </w:tr>
      <w:tr w14:paraId="655B0A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DA4D94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建设期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7D59C9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一次性投入 980</w:t>
            </w:r>
          </w:p>
        </w:tc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932AD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-980</w:t>
            </w:r>
          </w:p>
        </w:tc>
        <w:tc>
          <w:tcPr>
            <w:tcW w:w="215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E60360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需要严格控制范围和采购</w:t>
            </w:r>
          </w:p>
        </w:tc>
      </w:tr>
      <w:tr w14:paraId="2A3F69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CE9FE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第 1 年经营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BD87FB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运营 720，收入 380</w:t>
            </w:r>
          </w:p>
        </w:tc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D7D4FB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-1,320</w:t>
            </w:r>
          </w:p>
        </w:tc>
        <w:tc>
          <w:tcPr>
            <w:tcW w:w="215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14EC72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以验证为主，不能用利润考核</w:t>
            </w:r>
          </w:p>
        </w:tc>
      </w:tr>
      <w:tr w14:paraId="75C4F5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1FE8F2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第 2 年经营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B53CE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收入 1,280，变动成本 486，固定费用 780</w:t>
            </w:r>
          </w:p>
        </w:tc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C36C5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-1,306</w:t>
            </w:r>
          </w:p>
        </w:tc>
        <w:tc>
          <w:tcPr>
            <w:tcW w:w="215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EACCEB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接近经营平衡，观察复购与机构效率</w:t>
            </w:r>
          </w:p>
        </w:tc>
      </w:tr>
      <w:tr w14:paraId="068344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A9AC48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第 3 年经营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C8B0B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收入 2,860，经营性利润 913</w:t>
            </w:r>
          </w:p>
        </w:tc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2FA1C5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-393</w:t>
            </w:r>
          </w:p>
        </w:tc>
        <w:tc>
          <w:tcPr>
            <w:tcW w:w="215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0ADB07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现金回收明显加速</w:t>
            </w:r>
          </w:p>
        </w:tc>
      </w:tr>
      <w:tr w14:paraId="64DE48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89B85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第 4 年经营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800E62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经营性利润 2,066</w:t>
            </w:r>
          </w:p>
        </w:tc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6AFD92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约 1,673</w:t>
            </w:r>
          </w:p>
        </w:tc>
        <w:tc>
          <w:tcPr>
            <w:tcW w:w="215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3240D8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预计第 32 个月左右收回累计投入</w:t>
            </w:r>
          </w:p>
        </w:tc>
      </w:tr>
    </w:tbl>
    <w:p w14:paraId="63D91EAB">
      <w:pPr>
        <w:spacing w:after="40"/>
      </w:pPr>
    </w:p>
    <w:p w14:paraId="469DE7DD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9.5 敏感性分析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2"/>
        <w:gridCol w:w="1882"/>
        <w:gridCol w:w="1882"/>
        <w:gridCol w:w="1882"/>
        <w:gridCol w:w="1882"/>
      </w:tblGrid>
      <w:tr w14:paraId="1F875B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3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020BCA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情景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6DDBB59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变化</w:t>
            </w:r>
          </w:p>
        </w:tc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8F76D32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第 3 年收入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3C9FB5E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第 3 年经营性利润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AEABD3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应对策略</w:t>
            </w:r>
          </w:p>
        </w:tc>
      </w:tr>
      <w:tr w14:paraId="590C42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ADCECE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基准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C1BD2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按主测算</w:t>
            </w:r>
          </w:p>
        </w:tc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E618A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2,860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037505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913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EBCFB4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按计划扩围</w:t>
            </w:r>
          </w:p>
        </w:tc>
      </w:tr>
      <w:tr w14:paraId="07A947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BE7F60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保守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3D4D28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收入低 25%，履约成本率升至 45%</w:t>
            </w:r>
          </w:p>
        </w:tc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16B5A9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2,145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D1266C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320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5DACE5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放缓扩围，聚焦高毛利服务</w:t>
            </w:r>
          </w:p>
        </w:tc>
      </w:tr>
      <w:tr w14:paraId="0AFB6F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9F873C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压力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418C23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收入低 40%，固定费用增加 10%</w:t>
            </w:r>
          </w:p>
        </w:tc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6ABCDF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1,716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54C955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-55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F24421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冻结新增招聘，调整补贴和社区范围</w:t>
            </w:r>
          </w:p>
        </w:tc>
      </w:tr>
      <w:tr w14:paraId="466957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38876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乐观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0651A3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收入高 20%，履约成本率降至 35%</w:t>
            </w:r>
          </w:p>
        </w:tc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637A55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3,432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E6AA55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1,365</w:t>
            </w:r>
          </w:p>
        </w:tc>
        <w:tc>
          <w:tcPr>
            <w:tcW w:w="198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3CDF25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提前建设复制团队和渠道能力</w:t>
            </w:r>
          </w:p>
        </w:tc>
      </w:tr>
    </w:tbl>
    <w:p w14:paraId="45501418">
      <w:pPr>
        <w:spacing w:after="40"/>
      </w:pPr>
    </w:p>
    <w:p w14:paraId="4862CEF2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财务闸门建议：首期不以估值或大规模收入预测作为放大依据，而以试点数据决定是否释放第二阶段预算。若连续两个月履约率低于 85% 或发生重大安全事件，应暂停扩围，优先整改。</w:t>
      </w:r>
    </w:p>
    <w:p w14:paraId="53536B07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十 实施计划与验收标准</w:t>
      </w:r>
    </w:p>
    <w:p w14:paraId="1C9705E0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10.1 18 个月里程碑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2"/>
        <w:gridCol w:w="1882"/>
        <w:gridCol w:w="1882"/>
        <w:gridCol w:w="1882"/>
        <w:gridCol w:w="1882"/>
      </w:tblGrid>
      <w:tr w14:paraId="0492E6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D399496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阶段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0506B7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月份</w:t>
            </w:r>
          </w:p>
        </w:tc>
        <w:tc>
          <w:tcPr>
            <w:tcW w:w="368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C22DE69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关键任务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6F5688F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主要交付物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801663A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退出标准</w:t>
            </w:r>
          </w:p>
        </w:tc>
      </w:tr>
      <w:tr w14:paraId="27384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4A1CE0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项目启动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ECC76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M0-M1</w:t>
            </w:r>
          </w:p>
        </w:tc>
        <w:tc>
          <w:tcPr>
            <w:tcW w:w="368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F3C8CB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范围确认、试点街道签约、团队到位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EE88A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项目章程、预算、风险台账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2BFD72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发起人批准并完成资源锁定</w:t>
            </w:r>
          </w:p>
        </w:tc>
      </w:tr>
      <w:tr w14:paraId="3F24F6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5BD1FD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共创与设计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289BDA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M1-M3</w:t>
            </w:r>
          </w:p>
        </w:tc>
        <w:tc>
          <w:tcPr>
            <w:tcW w:w="368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F0F714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用户访谈、服务标准、原型和技术方案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B7480F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需求基线、服务目录、架构设计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B3C6D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P0 需求冻结，合规评审通过</w:t>
            </w:r>
          </w:p>
        </w:tc>
      </w:tr>
      <w:tr w14:paraId="39C5C5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DC7E3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MVP 开发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997568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M3-M5</w:t>
            </w:r>
          </w:p>
        </w:tc>
        <w:tc>
          <w:tcPr>
            <w:tcW w:w="368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8FAAC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核心功能开发、机构接入、培训准备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5EA909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可测试版本、机构清单、培训材料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796E57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关键链路通过 UAT</w:t>
            </w:r>
          </w:p>
        </w:tc>
      </w:tr>
      <w:tr w14:paraId="618496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57E0C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试点验证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F5BE2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M5-M6</w:t>
            </w:r>
          </w:p>
        </w:tc>
        <w:tc>
          <w:tcPr>
            <w:tcW w:w="368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495036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8 个社区上线、首单陪跑、每日复盘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1F831F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试点月报、问题清单、改进版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68DEC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达到 P0 指标和安全门槛</w:t>
            </w:r>
          </w:p>
        </w:tc>
      </w:tr>
      <w:tr w14:paraId="2C9C7A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99404A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扩围运行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CC69B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M7-M12</w:t>
            </w:r>
          </w:p>
        </w:tc>
        <w:tc>
          <w:tcPr>
            <w:tcW w:w="368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CDDC38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扩展服务品类和家属端，建立月度经营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3FBA8C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运营手册、绩效看板、结算体系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C92477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连续 2 月达到扩围条件</w:t>
            </w:r>
          </w:p>
        </w:tc>
      </w:tr>
      <w:tr w14:paraId="37CC12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9D39F3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规模化准备</w:t>
            </w:r>
          </w:p>
        </w:tc>
        <w:tc>
          <w:tcPr>
            <w:tcW w:w="11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C54592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M13-M18</w:t>
            </w:r>
          </w:p>
        </w:tc>
        <w:tc>
          <w:tcPr>
            <w:tcW w:w="368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BB978B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复制到更多街道，完善接口和组织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12A712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复制交付包、年度预算、决策报告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ED0A67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通过规模化评审</w:t>
            </w:r>
          </w:p>
        </w:tc>
      </w:tr>
    </w:tbl>
    <w:p w14:paraId="5DF66DF6">
      <w:pPr>
        <w:spacing w:after="40"/>
      </w:pPr>
    </w:p>
    <w:p w14:paraId="101A640B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10.2 阶段验收标准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330BDB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A6293F8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验收维度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6BC1BF1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MVP 验收</w:t>
            </w:r>
          </w:p>
        </w:tc>
        <w:tc>
          <w:tcPr>
            <w:tcW w:w="30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269C968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试点验收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48E178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扩围验收</w:t>
            </w:r>
          </w:p>
        </w:tc>
      </w:tr>
      <w:tr w14:paraId="3AD261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C2F959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功能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2577B1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P0 全部可用，关键链路无阻断</w:t>
            </w:r>
          </w:p>
        </w:tc>
        <w:tc>
          <w:tcPr>
            <w:tcW w:w="30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9EE4AB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订单、工单、结算可连续运行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51AEF7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支持多社区配置和复制</w:t>
            </w:r>
          </w:p>
        </w:tc>
      </w:tr>
      <w:tr w14:paraId="4A03C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8FF682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业务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E2C5FE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至少 20 个 SKU、10 家机构</w:t>
            </w:r>
          </w:p>
        </w:tc>
        <w:tc>
          <w:tcPr>
            <w:tcW w:w="30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49E8FC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8 个社区，2,000 名建档老人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290390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连续两个月复购和履约达标</w:t>
            </w:r>
          </w:p>
        </w:tc>
      </w:tr>
      <w:tr w14:paraId="0254F6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49A68C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质量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DD3CE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无阻断级缺陷</w:t>
            </w:r>
          </w:p>
        </w:tc>
        <w:tc>
          <w:tcPr>
            <w:tcW w:w="30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C1B4C3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履约率 ≥ 92%，投诉率 ≤ 2.5%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A884A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投诉率 ≤ 1.8%，问题闭环率 ≥ 95%</w:t>
            </w:r>
          </w:p>
        </w:tc>
      </w:tr>
      <w:tr w14:paraId="2B675C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22384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安全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DA018D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权限、日志、备份可用</w:t>
            </w:r>
          </w:p>
        </w:tc>
        <w:tc>
          <w:tcPr>
            <w:tcW w:w="30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942DB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高风险事件 100% 升级与复盘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58C52F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完成安全与隐私专项复审</w:t>
            </w:r>
          </w:p>
        </w:tc>
      </w:tr>
      <w:tr w14:paraId="464FAA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C8FF0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财务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FC9968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预算偏差 ≤ 10%</w:t>
            </w:r>
          </w:p>
        </w:tc>
        <w:tc>
          <w:tcPr>
            <w:tcW w:w="30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D20329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单社区成本可追踪</w:t>
            </w:r>
          </w:p>
        </w:tc>
        <w:tc>
          <w:tcPr>
            <w:tcW w:w="255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5398F9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单位经济模型趋于稳定</w:t>
            </w:r>
          </w:p>
        </w:tc>
      </w:tr>
    </w:tbl>
    <w:p w14:paraId="4B35B551">
      <w:pPr>
        <w:spacing w:after="40"/>
      </w:pPr>
    </w:p>
    <w:p w14:paraId="3C84E960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10.3 项目工作机制</w:t>
      </w:r>
    </w:p>
    <w:p w14:paraId="3075716C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采用双周迭代，所有需求进入统一待办并标记优先级、验收人和上线风险。</w:t>
      </w:r>
    </w:p>
    <w:p w14:paraId="47F81856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建立“线上问题 24 小时响应、重大安全事件即时升级”的服务台机制。</w:t>
      </w:r>
    </w:p>
    <w:p w14:paraId="748684B4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任何新增服务品类必须先完成服务标准、人员资质、保险和风险评估。</w:t>
      </w:r>
    </w:p>
    <w:p w14:paraId="6B26F6D9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每个里程碑保留可审计证据，包括会议纪要、测试报告、培训记录、服务凭证和预算执行表。</w:t>
      </w:r>
    </w:p>
    <w:p w14:paraId="1FCC9A2F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十一 风险、合规与退出机制</w:t>
      </w:r>
    </w:p>
    <w:p w14:paraId="61CA172D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11.1 风险矩阵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2"/>
        <w:gridCol w:w="1882"/>
        <w:gridCol w:w="1882"/>
        <w:gridCol w:w="1882"/>
        <w:gridCol w:w="1882"/>
      </w:tblGrid>
      <w:tr w14:paraId="5EE863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DB62C71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风险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A47D151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可能性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9FC480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影响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342FF00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预防措施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24C2CB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6"/>
              </w:rPr>
              <w:t>触发后的处置</w:t>
            </w:r>
          </w:p>
        </w:tc>
      </w:tr>
      <w:tr w14:paraId="00E223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903180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服务安全事件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CD295A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中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24447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极高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235FF2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人员认证、保险、SOP、异常升级和抽检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EC741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立即停单、保全证据、家属沟通、复盘问责</w:t>
            </w:r>
          </w:p>
        </w:tc>
      </w:tr>
      <w:tr w14:paraId="44330D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553C9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试点活跃度不足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C9B1F9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中高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2D256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高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90CAAB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社区共创、线下代办、重点人群运营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95A32C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缩小品类，调整触达和补贴，延长验证期</w:t>
            </w:r>
          </w:p>
        </w:tc>
      </w:tr>
      <w:tr w14:paraId="26ADD4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7323C3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机构履约不稳定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791831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中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06B317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高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D26E3D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分级准入、备用机构、服务半径控制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E56774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降级限单、引入替补、启动赔付规则</w:t>
            </w:r>
          </w:p>
        </w:tc>
      </w:tr>
      <w:tr w14:paraId="6F2194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E1D584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数据泄露或越权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89D3D2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低中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23F17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极高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C6499D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最小化采集、分权、加密、审计、培训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0FEF25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封禁账号、应急响应、通知与整改</w:t>
            </w:r>
          </w:p>
        </w:tc>
      </w:tr>
      <w:tr w14:paraId="0CBF24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49D301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预算超支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746FA8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中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F492DC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高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13C847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范围基线、采购比价、预备费和月度审查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E75CED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冻结非核心需求、重新评估投入产出</w:t>
            </w:r>
          </w:p>
        </w:tc>
      </w:tr>
      <w:tr w14:paraId="18BC89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577145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政策/支付变化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AC7466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中</w:t>
            </w:r>
          </w:p>
        </w:tc>
        <w:tc>
          <w:tcPr>
            <w:tcW w:w="9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127B6C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中高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EE3A3D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收入结构多元、合同条款保留调整空间</w:t>
            </w:r>
          </w:p>
        </w:tc>
        <w:tc>
          <w:tcPr>
            <w:tcW w:w="238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3DAA7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6"/>
              </w:rPr>
              <w:t>切换个人付费和机构合作组合</w:t>
            </w:r>
          </w:p>
        </w:tc>
      </w:tr>
    </w:tbl>
    <w:p w14:paraId="55E5E580">
      <w:pPr>
        <w:spacing w:after="40"/>
      </w:pPr>
    </w:p>
    <w:p w14:paraId="7264D750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11.2 合规清单</w:t>
      </w:r>
    </w:p>
    <w:p w14:paraId="463B1325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合同合规：明确平台、社区、服务机构和服务人员的责任边界，避免将平台包装为医疗或护理主体。</w:t>
      </w:r>
    </w:p>
    <w:p w14:paraId="13AC53AF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个人信息保护：完成隐私政策、授权文本、敏感信息分类、访问审计和删除/注销流程。</w:t>
      </w:r>
    </w:p>
    <w:p w14:paraId="64A2F5C1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服务资质：对护理、康复、医疗相关服务建立资质核验和禁限用语清单。</w:t>
      </w:r>
    </w:p>
    <w:p w14:paraId="0CC07101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支付与发票：明确代收、结算、退款、发票和补贴核销流程，避免账实不符。</w:t>
      </w:r>
    </w:p>
    <w:p w14:paraId="6B8EDCC1">
      <w:pPr>
        <w:pStyle w:val="16"/>
        <w:spacing w:before="0" w:after="60" w:line="283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未成年人和弱势群体保护：涉及家庭成员或紧急联系人时，建立授权和通知规则。</w:t>
      </w:r>
    </w:p>
    <w:p w14:paraId="3285C56C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11.3 退出与止损机制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47328F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880838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触发条件</w:t>
            </w:r>
          </w:p>
        </w:tc>
        <w:tc>
          <w:tcPr>
            <w:tcW w:w="425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751BFC6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处置动作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9AA6BFD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决策人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4370CD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时间要求</w:t>
            </w:r>
          </w:p>
        </w:tc>
      </w:tr>
      <w:tr w14:paraId="4B256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E421C5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连续两个月 P0 指标不达标</w:t>
            </w:r>
          </w:p>
        </w:tc>
        <w:tc>
          <w:tcPr>
            <w:tcW w:w="425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497BC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暂停扩围，保留核心社区，制定专项整改计划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C1B8D2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项目发起人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AB3670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一周内决策</w:t>
            </w:r>
          </w:p>
        </w:tc>
      </w:tr>
      <w:tr w14:paraId="76B36A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A6277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发生重大安全或隐私事件</w:t>
            </w:r>
          </w:p>
        </w:tc>
        <w:tc>
          <w:tcPr>
            <w:tcW w:w="425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A864D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暂停相关服务和机构，启动应急预案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91DE1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项目发起人 + 合规负责人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88E02E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即时</w:t>
            </w:r>
          </w:p>
        </w:tc>
      </w:tr>
      <w:tr w14:paraId="57062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2153AB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累计投入超过预算 110%</w:t>
            </w:r>
          </w:p>
        </w:tc>
        <w:tc>
          <w:tcPr>
            <w:tcW w:w="425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6C152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冻结非核心开发，重新评估商业模型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295F1F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投资/预算委员会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8BE7FD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两周内</w:t>
            </w:r>
          </w:p>
        </w:tc>
      </w:tr>
      <w:tr w14:paraId="2FAD51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94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B53698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无法获得续签或支付方</w:t>
            </w:r>
          </w:p>
        </w:tc>
        <w:tc>
          <w:tcPr>
            <w:tcW w:w="425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020F69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缩减项目为服务能力输出或停止运营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E3CB31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项目发起人</w:t>
            </w:r>
          </w:p>
        </w:tc>
        <w:tc>
          <w:tcPr>
            <w:tcW w:w="124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6BEA11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一个月内完成方案</w:t>
            </w:r>
          </w:p>
        </w:tc>
      </w:tr>
    </w:tbl>
    <w:p w14:paraId="6ED71BF0">
      <w:pPr>
        <w:spacing w:after="40"/>
      </w:pPr>
    </w:p>
    <w:p w14:paraId="328E4650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十二 立项决策事项</w:t>
      </w:r>
    </w:p>
    <w:p w14:paraId="4D4354B4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12.1 本次需要批准的事项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37"/>
        <w:gridCol w:w="3137"/>
        <w:gridCol w:w="3137"/>
      </w:tblGrid>
      <w:tr w14:paraId="7EC098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68C9157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事项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3308753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建议决议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BAA4BEC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批准后动作</w:t>
            </w:r>
          </w:p>
        </w:tc>
      </w:tr>
      <w:tr w14:paraId="6FCA7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27CDF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项目立项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0A14AB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同意进入 18 个月建设与试点阶段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4C2905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启动 PMO、签订试点意向和合作协议</w:t>
            </w:r>
          </w:p>
        </w:tc>
      </w:tr>
      <w:tr w14:paraId="2811D5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A45636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首期建设预算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44B740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批准上限 980 万元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8BACB9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按阶段和验收结果分批释放</w:t>
            </w:r>
          </w:p>
        </w:tc>
      </w:tr>
      <w:tr w14:paraId="2B6EF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A6C772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首年运营预算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4EB9B3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批准上限 720 万元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330CB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按月跟踪预算执行和单位经济指标</w:t>
            </w:r>
          </w:p>
        </w:tc>
      </w:tr>
      <w:tr w14:paraId="014086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A7F11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试点范围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39A679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2 个街道、8 个社区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A39DFD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完成社区画像、机构招募和服务标准</w:t>
            </w:r>
          </w:p>
        </w:tc>
      </w:tr>
      <w:tr w14:paraId="20FD58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D9DEBB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阶段闸门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E31B6E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达到试点指标后方可扩围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4C1137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M6、M12、M18 分别进行评审</w:t>
            </w:r>
          </w:p>
        </w:tc>
      </w:tr>
      <w:tr w14:paraId="5879B920"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25740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风险底线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9958CBF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安全和隐私事件一票否决扩围</w:t>
            </w:r>
          </w:p>
        </w:tc>
        <w:tc>
          <w:tcPr>
            <w:tcW w:w="34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74D030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建立应急机制和责任人清单</w:t>
            </w:r>
          </w:p>
        </w:tc>
      </w:tr>
    </w:tbl>
    <w:p w14:paraId="440566B5">
      <w:pPr>
        <w:spacing w:after="40"/>
      </w:pPr>
    </w:p>
    <w:p w14:paraId="1421C412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12.2 立项后 30 天行动清单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3F5D49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1F73D31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序号</w:t>
            </w:r>
          </w:p>
        </w:tc>
        <w:tc>
          <w:tcPr>
            <w:tcW w:w="45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64487FE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行动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5E3DED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负责人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C1C6AE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完成标志</w:t>
            </w:r>
          </w:p>
        </w:tc>
      </w:tr>
      <w:tr w14:paraId="44F524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CE70D1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w="45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C3A305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确定试点街道和项目发起人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92223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项目发起人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08C68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签署项目章程</w:t>
            </w:r>
          </w:p>
        </w:tc>
      </w:tr>
      <w:tr w14:paraId="36A3F4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0243A2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2</w:t>
            </w:r>
          </w:p>
        </w:tc>
        <w:tc>
          <w:tcPr>
            <w:tcW w:w="45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0FB356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完成 8 个社区需求与资源盘点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0403C9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运营负责人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6AB0A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社区画像与问题清单</w:t>
            </w:r>
          </w:p>
        </w:tc>
      </w:tr>
      <w:tr w14:paraId="7675B8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D805E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3</w:t>
            </w:r>
          </w:p>
        </w:tc>
        <w:tc>
          <w:tcPr>
            <w:tcW w:w="45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AC5B07A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完成服务目录与风险分级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F504FC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产品/运营/合规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46B7D4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首批服务标准包</w:t>
            </w:r>
          </w:p>
        </w:tc>
      </w:tr>
      <w:tr w14:paraId="7A59FD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11E58F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4</w:t>
            </w:r>
          </w:p>
        </w:tc>
        <w:tc>
          <w:tcPr>
            <w:tcW w:w="45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5A78E1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完成机构准入和合作协议模板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DFF19D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商务/合规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5B9D36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机构清单与协议模板</w:t>
            </w:r>
          </w:p>
        </w:tc>
      </w:tr>
      <w:tr w14:paraId="380D4E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8183EE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5</w:t>
            </w:r>
          </w:p>
        </w:tc>
        <w:tc>
          <w:tcPr>
            <w:tcW w:w="45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764F69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完成 MVP 需求基线和技术方案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8378E0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产品/技术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02F90D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需求评审纪要</w:t>
            </w:r>
          </w:p>
        </w:tc>
      </w:tr>
      <w:tr w14:paraId="6CA9E0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F6E24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6</w:t>
            </w:r>
          </w:p>
        </w:tc>
        <w:tc>
          <w:tcPr>
            <w:tcW w:w="45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0C79D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建立预算、采购和风险台账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CD9AC0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PMO/财务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A9EFF7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台账可审计</w:t>
            </w:r>
          </w:p>
        </w:tc>
      </w:tr>
      <w:tr w14:paraId="6EFE53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469454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7</w:t>
            </w:r>
          </w:p>
        </w:tc>
        <w:tc>
          <w:tcPr>
            <w:tcW w:w="45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6A3C9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确定试点指标和数据口径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B5F60D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数据/运营</w:t>
            </w:r>
          </w:p>
        </w:tc>
        <w:tc>
          <w:tcPr>
            <w:tcW w:w="249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1CDE1C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指标字典与看板原型</w:t>
            </w:r>
          </w:p>
        </w:tc>
      </w:tr>
    </w:tbl>
    <w:p w14:paraId="7A33BDD0">
      <w:pPr>
        <w:spacing w:after="40"/>
      </w:pPr>
    </w:p>
    <w:p w14:paraId="2E767631">
      <w:pPr>
        <w:pStyle w:val="4"/>
        <w:keepNext/>
      </w:pPr>
      <w:r>
        <w:rPr>
          <w:rFonts w:ascii="微软雅黑" w:hAnsi="微软雅黑" w:eastAsia="微软雅黑"/>
          <w:b/>
          <w:i w:val="0"/>
          <w:color w:val="000000"/>
          <w:sz w:val="25"/>
        </w:rPr>
        <w:t>12.3 最终结论</w:t>
      </w:r>
    </w:p>
    <w:p w14:paraId="1E9C1F7D">
      <w:pPr>
        <w:pStyle w:val="19"/>
        <w:spacing w:before="0" w:after="12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建议批准本项目立项，并将其定位为“可复制的社区养老服务组织能力建设项目”，而不是单纯的软件采购项目。建设重点应放在服务标准、运营组织、风险闭环和可审计数据上。首期预算应实行分阶段释放：先用 980 万元完成产品与试点基础，再根据 M6 结果决定是否释放扩围资源。</w:t>
      </w:r>
    </w:p>
    <w:p w14:paraId="5CA7FA2F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附录 A 关键指标口径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71027A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98D22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指标</w:t>
            </w:r>
          </w:p>
        </w:tc>
        <w:tc>
          <w:tcPr>
            <w:tcW w:w="35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E2C7A19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定义</w:t>
            </w:r>
          </w:p>
        </w:tc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779123B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计算公式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592296E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注意事项</w:t>
            </w:r>
          </w:p>
        </w:tc>
      </w:tr>
      <w:tr w14:paraId="183E85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5374E8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建档老人</w:t>
            </w:r>
          </w:p>
        </w:tc>
        <w:tc>
          <w:tcPr>
            <w:tcW w:w="35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54B48F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在平台或社区台账中完成基本信息和服务需求确认的老人</w:t>
            </w:r>
          </w:p>
        </w:tc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8DE05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完成必填字段的老人数量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9803D1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不等于活跃或付费用户</w:t>
            </w:r>
          </w:p>
        </w:tc>
      </w:tr>
      <w:tr w14:paraId="1786F7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CA5082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活跃付费家庭</w:t>
            </w:r>
          </w:p>
        </w:tc>
        <w:tc>
          <w:tcPr>
            <w:tcW w:w="35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96F00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统计周期内至少完成一笔付费订单的家庭</w:t>
            </w:r>
          </w:p>
        </w:tc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5A6FCF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周期内完成付费订单的去重家庭数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39E539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按家庭去重，不按订单数</w:t>
            </w:r>
          </w:p>
        </w:tc>
      </w:tr>
      <w:tr w14:paraId="3B40C6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5065C1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履约率</w:t>
            </w:r>
          </w:p>
        </w:tc>
        <w:tc>
          <w:tcPr>
            <w:tcW w:w="35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BE1ED4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已完成订单中按约定时间和服务标准完成的比例</w:t>
            </w:r>
          </w:p>
        </w:tc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42600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合格完成订单 / 应履约订单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3924D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取消和改派需单独分析</w:t>
            </w:r>
          </w:p>
        </w:tc>
      </w:tr>
      <w:tr w14:paraId="6789C5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A4AED5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复购率</w:t>
            </w:r>
          </w:p>
        </w:tc>
        <w:tc>
          <w:tcPr>
            <w:tcW w:w="35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10923A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统计周期内再次购买服务的付费家庭比例</w:t>
            </w:r>
          </w:p>
        </w:tc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1526BE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再次购买家庭 / 上期付费家庭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5E642F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按品类和社区分层</w:t>
            </w:r>
          </w:p>
        </w:tc>
      </w:tr>
      <w:tr w14:paraId="5D9725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B556B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高风险事件闭环率</w:t>
            </w:r>
          </w:p>
        </w:tc>
        <w:tc>
          <w:tcPr>
            <w:tcW w:w="35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C7EE60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已触发的高风险事件中完成升级、处置和复盘的比例</w:t>
            </w:r>
          </w:p>
        </w:tc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14AFE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完成闭环事件 / 高风险事件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49CA8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目标为 100%</w:t>
            </w:r>
          </w:p>
        </w:tc>
      </w:tr>
      <w:tr w14:paraId="0CB972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13768C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单社区贡献毛利</w:t>
            </w:r>
          </w:p>
        </w:tc>
        <w:tc>
          <w:tcPr>
            <w:tcW w:w="35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D8ABF1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社区收入扣除直接履约和社区专属运营成本后的金额</w:t>
            </w:r>
          </w:p>
        </w:tc>
        <w:tc>
          <w:tcPr>
            <w:tcW w:w="2835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636F77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社区收入 - 变动成本 - 专属运营成本</w:t>
            </w:r>
          </w:p>
        </w:tc>
        <w:tc>
          <w:tcPr>
            <w:tcW w:w="181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E99BE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用于判断社区复制价值</w:t>
            </w:r>
          </w:p>
        </w:tc>
      </w:tr>
    </w:tbl>
    <w:p w14:paraId="435E9EAA">
      <w:pPr>
        <w:spacing w:after="40"/>
      </w:pPr>
    </w:p>
    <w:p w14:paraId="0F6EC58F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附录 B 关键假设与待验证清单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3"/>
        <w:gridCol w:w="2353"/>
        <w:gridCol w:w="2353"/>
        <w:gridCol w:w="2353"/>
      </w:tblGrid>
      <w:tr w14:paraId="743D07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7543B39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假设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66FD7F4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当前演示值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218F708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验证方式</w:t>
            </w:r>
          </w:p>
        </w:tc>
        <w:tc>
          <w:tcPr>
            <w:tcW w:w="1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78FC01B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7"/>
              </w:rPr>
              <w:t>最晚验证时间</w:t>
            </w:r>
          </w:p>
        </w:tc>
      </w:tr>
      <w:tr w14:paraId="2F96F0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BD9A6A5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重点老人规模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77CC4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首批街道约 3,000 人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AF8321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社区台账、入户抽样、街道访谈</w:t>
            </w:r>
          </w:p>
        </w:tc>
        <w:tc>
          <w:tcPr>
            <w:tcW w:w="1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D90F71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M1</w:t>
            </w:r>
          </w:p>
        </w:tc>
      </w:tr>
      <w:tr w14:paraId="7A9F4A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C95A7C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服务需求结构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A5E39D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照护、陪诊、助餐为高频品类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4B7E97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需求问卷、首月订单数据</w:t>
            </w:r>
          </w:p>
        </w:tc>
        <w:tc>
          <w:tcPr>
            <w:tcW w:w="1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41338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M2</w:t>
            </w:r>
          </w:p>
        </w:tc>
      </w:tr>
      <w:tr w14:paraId="42FBA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2E33E0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客单价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3981C8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90-105 元/次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C408A5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竞争报价、机构成本、用户支付意愿</w:t>
            </w:r>
          </w:p>
        </w:tc>
        <w:tc>
          <w:tcPr>
            <w:tcW w:w="1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FC9D62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M3</w:t>
            </w:r>
          </w:p>
        </w:tc>
      </w:tr>
      <w:tr w14:paraId="567969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02F1829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机构履约能力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14CB8B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每社区至少 10 家可用机构/团队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44FEB6C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资质核验、试单、服务半径测算</w:t>
            </w:r>
          </w:p>
        </w:tc>
        <w:tc>
          <w:tcPr>
            <w:tcW w:w="1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583CA6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M3</w:t>
            </w:r>
          </w:p>
        </w:tc>
      </w:tr>
      <w:tr w14:paraId="18ACCF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3307E0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社区运营成本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7CF90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每社区月均 1.5-2.5 万元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75409C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试点排班、活动与客服工时记录</w:t>
            </w:r>
          </w:p>
        </w:tc>
        <w:tc>
          <w:tcPr>
            <w:tcW w:w="1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DDAF39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M6</w:t>
            </w:r>
          </w:p>
        </w:tc>
      </w:tr>
      <w:tr w14:paraId="2DF3DF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26EAB24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家属复购</w:t>
            </w:r>
          </w:p>
        </w:tc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05733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第 3 年月复购率 50%</w:t>
            </w:r>
          </w:p>
        </w:tc>
        <w:tc>
          <w:tcPr>
            <w:tcW w:w="396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D11AA6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家庭端行为数据和回访</w:t>
            </w:r>
          </w:p>
        </w:tc>
        <w:tc>
          <w:tcPr>
            <w:tcW w:w="1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E3C617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7"/>
              </w:rPr>
              <w:t>M12</w:t>
            </w:r>
          </w:p>
        </w:tc>
      </w:tr>
    </w:tbl>
    <w:p w14:paraId="57E56819">
      <w:pPr>
        <w:spacing w:after="40"/>
      </w:pPr>
    </w:p>
    <w:p w14:paraId="187277CF">
      <w:pPr>
        <w:pStyle w:val="3"/>
        <w:keepNext/>
      </w:pPr>
      <w:r>
        <w:rPr>
          <w:rFonts w:ascii="微软雅黑" w:hAnsi="微软雅黑" w:eastAsia="微软雅黑"/>
          <w:b/>
          <w:i w:val="0"/>
          <w:color w:val="000000"/>
          <w:sz w:val="30"/>
        </w:rPr>
        <w:t>附录 C 术语表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6"/>
        <w:gridCol w:w="4706"/>
      </w:tblGrid>
      <w:tr w14:paraId="29A92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C555B5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8"/>
              </w:rPr>
              <w:t>术语</w:t>
            </w:r>
          </w:p>
        </w:tc>
        <w:tc>
          <w:tcPr>
            <w:tcW w:w="782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31D73D">
            <w:pPr>
              <w:spacing w:before="0" w:after="0" w:line="252" w:lineRule="auto"/>
              <w:jc w:val="center"/>
            </w:pPr>
            <w:r>
              <w:rPr>
                <w:rFonts w:ascii="微软雅黑" w:hAnsi="微软雅黑" w:eastAsia="微软雅黑"/>
                <w:b/>
                <w:i w:val="0"/>
                <w:color w:val="FFFFFF"/>
                <w:sz w:val="18"/>
              </w:rPr>
              <w:t>解释</w:t>
            </w:r>
          </w:p>
        </w:tc>
      </w:tr>
      <w:tr w14:paraId="280683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EECEBE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MVP</w:t>
            </w:r>
          </w:p>
        </w:tc>
        <w:tc>
          <w:tcPr>
            <w:tcW w:w="782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CC496C0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最小可行产品，能够支撑核心业务闭环并用于真实试点验证的版本。</w:t>
            </w:r>
          </w:p>
        </w:tc>
      </w:tr>
      <w:tr w14:paraId="38EAA9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8F897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服务 SKU</w:t>
            </w:r>
          </w:p>
        </w:tc>
        <w:tc>
          <w:tcPr>
            <w:tcW w:w="782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1AFDB1D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一个可独立定价、下单、履约和评价的标准化服务单元。</w:t>
            </w:r>
          </w:p>
        </w:tc>
      </w:tr>
      <w:tr w14:paraId="106135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7D5E0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阶段闸门</w:t>
            </w:r>
          </w:p>
        </w:tc>
        <w:tc>
          <w:tcPr>
            <w:tcW w:w="782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F79E428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在里程碑处根据指标和风险决定继续、调整或暂停投入的决策点。</w:t>
            </w:r>
          </w:p>
        </w:tc>
      </w:tr>
      <w:tr w14:paraId="1BD2A7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A6B3A3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服务凭证</w:t>
            </w:r>
          </w:p>
        </w:tc>
        <w:tc>
          <w:tcPr>
            <w:tcW w:w="782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926B10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用于证明服务完成情况的签到、记录、签字、照片或其他合规证据。</w:t>
            </w:r>
          </w:p>
        </w:tc>
      </w:tr>
      <w:tr w14:paraId="136B95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AD13351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单位经济模型</w:t>
            </w:r>
          </w:p>
        </w:tc>
        <w:tc>
          <w:tcPr>
            <w:tcW w:w="782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0C77D3E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以单个订单、家庭或社区为单位分析收入、直接成本和获客成本的模型。</w:t>
            </w:r>
          </w:p>
        </w:tc>
      </w:tr>
      <w:tr w14:paraId="67CD37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D33456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数据最小化</w:t>
            </w:r>
          </w:p>
        </w:tc>
        <w:tc>
          <w:tcPr>
            <w:tcW w:w="782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  <w:insideH w:val="single" w:sz="6" w:space="0"/>
              <w:insideV w:val="single" w:sz="6" w:space="0"/>
            </w:tcBorders>
            <w:shd w:val="clear" w:color="auto" w:fill="F4F7FB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D8D5D7">
            <w:pPr>
              <w:spacing w:before="0" w:after="0" w:line="259" w:lineRule="auto"/>
              <w:jc w:val="left"/>
            </w:pPr>
            <w:r>
              <w:rPr>
                <w:rFonts w:ascii="微软雅黑" w:hAnsi="微软雅黑" w:eastAsia="微软雅黑"/>
                <w:b w:val="0"/>
                <w:i w:val="0"/>
                <w:color w:val="000000"/>
                <w:sz w:val="18"/>
              </w:rPr>
              <w:t>只采集完成业务目的所必需的个人信息，避免过度收集和长期留存。</w:t>
            </w:r>
          </w:p>
        </w:tc>
      </w:tr>
    </w:tbl>
    <w:p w14:paraId="4173D88E">
      <w:pPr>
        <w:spacing w:after="40"/>
      </w:pPr>
    </w:p>
    <w:p w14:paraId="218A2ECC">
      <w:pPr>
        <w:pStyle w:val="19"/>
        <w:spacing w:before="0" w:after="0" w:line="300" w:lineRule="auto"/>
      </w:pPr>
      <w:r>
        <w:rPr>
          <w:rFonts w:ascii="微软雅黑" w:hAnsi="微软雅黑" w:eastAsia="微软雅黑"/>
          <w:b w:val="0"/>
          <w:i w:val="0"/>
          <w:color w:val="000000"/>
          <w:sz w:val="21"/>
        </w:rPr>
        <w:t>文档说明：本报告为立项演示样稿。正式用于投资、采购、政府项目申报或对外承诺前，应由业务、财务、法务、信息安全和试点街道共同复核全部假设与指标。</w:t>
      </w:r>
    </w:p>
    <w:sectPr>
      <w:footerReference r:id="rId5" w:type="default"/>
      <w:pgSz w:w="11906" w:h="16838"/>
      <w:pgMar w:top="1191" w:right="1247" w:bottom="1020" w:left="1247" w:header="454" w:footer="454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7BE306">
    <w:pPr>
      <w:pStyle w:val="24"/>
      <w:jc w:val="center"/>
    </w:pPr>
    <w:r>
      <w:rPr>
        <w:rFonts w:ascii="微软雅黑" w:hAnsi="微软雅黑" w:eastAsia="微软雅黑"/>
        <w:b w:val="0"/>
        <w:i w:val="0"/>
        <w:color w:val="666666"/>
        <w:sz w:val="18"/>
      </w:rPr>
      <w:t xml:space="preserve">第 </w:t>
    </w:r>
    <w:r>
      <w:rPr>
        <w:rFonts w:ascii="微软雅黑" w:hAnsi="微软雅黑" w:eastAsia="微软雅黑"/>
        <w:b w:val="0"/>
        <w:i w:val="0"/>
        <w:color w:val="666666"/>
        <w:sz w:val="18"/>
      </w:rPr>
      <w:fldChar w:fldCharType="begin"/>
    </w:r>
    <w:r>
      <w:rPr>
        <w:rFonts w:ascii="微软雅黑" w:hAnsi="微软雅黑" w:eastAsia="微软雅黑"/>
        <w:b w:val="0"/>
        <w:i w:val="0"/>
        <w:color w:val="666666"/>
        <w:sz w:val="18"/>
      </w:rPr>
      <w:instrText xml:space="preserve">PAGE</w:instrText>
    </w:r>
    <w:r>
      <w:rPr>
        <w:rFonts w:ascii="微软雅黑" w:hAnsi="微软雅黑" w:eastAsia="微软雅黑"/>
        <w:b w:val="0"/>
        <w:i w:val="0"/>
        <w:color w:val="666666"/>
        <w:sz w:val="18"/>
      </w:rPr>
      <w:fldChar w:fldCharType="end"/>
    </w:r>
    <w:r>
      <w:rPr>
        <w:rFonts w:ascii="微软雅黑" w:hAnsi="微软雅黑" w:eastAsia="微软雅黑"/>
        <w:b w:val="0"/>
        <w:i w:val="0"/>
        <w:color w:val="666666"/>
        <w:sz w:val="18"/>
      </w:rPr>
      <w:t xml:space="preserve"> 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6292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微软雅黑" w:hAnsi="微软雅黑" w:eastAsia="微软雅黑" w:cstheme="minorBidi"/>
      <w:color w:val="000000"/>
      <w:sz w:val="21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200" w:after="100"/>
      <w:outlineLvl w:val="0"/>
    </w:pPr>
    <w:rPr>
      <w:rFonts w:asciiTheme="majorHAnsi" w:hAnsiTheme="majorHAnsi" w:eastAsiaTheme="majorEastAsia" w:cstheme="majorBidi"/>
      <w:b/>
      <w:bCs/>
      <w:color w:val="000000"/>
      <w:sz w:val="30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140" w:after="100"/>
      <w:outlineLvl w:val="1"/>
    </w:pPr>
    <w:rPr>
      <w:rFonts w:asciiTheme="majorHAnsi" w:hAnsiTheme="majorHAnsi" w:eastAsiaTheme="majorEastAsia" w:cstheme="majorBidi"/>
      <w:b/>
      <w:bCs/>
      <w:color w:val="000000"/>
      <w:sz w:val="25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140" w:after="100"/>
      <w:outlineLvl w:val="2"/>
    </w:pPr>
    <w:rPr>
      <w:rFonts w:asciiTheme="majorHAnsi" w:hAnsiTheme="majorHAnsi" w:eastAsiaTheme="majorEastAsia" w:cstheme="majorBidi"/>
      <w:b/>
      <w:bCs/>
      <w:color w:val="000000"/>
      <w:sz w:val="23"/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  <w:rPr>
      <w:rFonts w:ascii="微软雅黑" w:hAnsi="微软雅黑" w:eastAsia="微软雅黑"/>
      <w:color w:val="000000"/>
      <w:sz w:val="21"/>
    </w:r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  <w:rPr>
      <w:rFonts w:ascii="微软雅黑" w:hAnsi="微软雅黑" w:eastAsia="微软雅黑"/>
      <w:color w:val="000000"/>
      <w:sz w:val="21"/>
    </w:r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  <w:rPr>
      <w:rFonts w:ascii="微软雅黑" w:hAnsi="微软雅黑" w:eastAsia="微软雅黑"/>
      <w:color w:val="000000"/>
      <w:sz w:val="21"/>
    </w:r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pPr>
      <w:spacing w:after="320"/>
    </w:pPr>
    <w:rPr>
      <w:rFonts w:asciiTheme="majorHAnsi" w:hAnsiTheme="majorHAnsi" w:eastAsiaTheme="majorEastAsia" w:cstheme="majorBidi"/>
      <w:i/>
      <w:iCs/>
      <w:color w:val="666666"/>
      <w:spacing w:val="15"/>
      <w:sz w:val="26"/>
      <w:szCs w:val="24"/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spacing w:after="300" w:line="240" w:lineRule="auto"/>
      <w:contextualSpacing/>
    </w:pPr>
    <w:rPr>
      <w:rFonts w:asciiTheme="majorHAnsi" w:hAnsiTheme="majorHAnsi" w:eastAsiaTheme="majorEastAsia" w:cstheme="majorBidi"/>
      <w:b/>
      <w:color w:val="000000"/>
      <w:spacing w:val="5"/>
      <w:kern w:val="28"/>
      <w:sz w:val="50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4941</Words>
  <Characters>5128</Characters>
  <Lines>0</Lines>
  <Paragraphs>0</Paragraphs>
  <TotalTime>2</TotalTime>
  <ScaleCrop>false</ScaleCrop>
  <LinksUpToDate>false</LinksUpToDate>
  <CharactersWithSpaces>5316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项目筹备组</dc:creator>
  <dc:description>演示版，数据为假设值，需在正式立项前校准。</dc:description>
  <cp:lastModifiedBy>钱斌@苏州</cp:lastModifiedBy>
  <dcterms:modified xsi:type="dcterms:W3CDTF">2026-09-11T14:24:49Z</dcterms:modified>
  <dc:subject>项目立项论证与实施建议</dc:subject>
  <dc:title>城市社区智慧养老服务平台立项报告（演示版）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eyJoZGlkIjoiNjMzZGQ0ZWE2OTNhNTU2YzYwMTllZWVlMGQ5MjE3YjMiLCJ1c2VySWQiOiIzNDE2NjE3NjAifQ==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6FDE00B615D8456AB0A9C6675213BFE8_12</vt:lpwstr>
  </property>
</Properties>
</file>