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2400" w:after="400"/>
        <w:jc w:val="center"/>
      </w:pPr>
      <w:r>
        <w:rPr>
          <w:rFonts w:ascii="Times New Roman" w:hAnsi="Times New Roman" w:eastAsia="黑体"/>
          <w:b/>
          <w:color w:val="2C3E50"/>
          <w:sz w:val="56"/>
        </w:rPr>
        <w:t>合同审查报告</w:t>
      </w:r>
    </w:p>
    <w:p>
      <w:pPr>
        <w:spacing w:after="800"/>
        <w:jc w:val="center"/>
      </w:pPr>
      <w:r>
        <w:rPr>
          <w:rFonts w:ascii="Times New Roman" w:hAnsi="Times New Roman" w:eastAsia="宋体"/>
          <w:b w:val="0"/>
          <w:color w:val="7F8C8D"/>
          <w:sz w:val="28"/>
        </w:rPr>
        <w:t>智能合同风险识别与条款分析</w:t>
      </w:r>
    </w:p>
    <w:p>
      <w:pPr>
        <w:spacing w:after="240"/>
        <w:jc w:val="center"/>
      </w:pPr>
      <w:r>
        <w:rPr>
          <w:rFonts w:ascii="Times New Roman" w:hAnsi="Times New Roman" w:eastAsia="宋体"/>
          <w:b/>
          <w:color w:val="2C3E50"/>
          <w:sz w:val="28"/>
        </w:rPr>
        <w:t>审查对象：生产区域安全 AI 识别系统软件开发服务合同</w:t>
      </w:r>
    </w:p>
    <w:p>
      <w:pPr>
        <w:spacing w:after="160"/>
        <w:jc w:val="center"/>
      </w:pPr>
      <w:r>
        <w:rPr>
          <w:rFonts w:ascii="Times New Roman" w:hAnsi="Times New Roman" w:eastAsia="宋体"/>
          <w:b w:val="0"/>
          <w:color w:val="7F8C8D"/>
          <w:sz w:val="24"/>
        </w:rPr>
        <w:t>合同编号：2024562</w:t>
      </w:r>
    </w:p>
    <w:p>
      <w:pPr>
        <w:spacing w:after="160"/>
        <w:jc w:val="center"/>
      </w:pPr>
      <w:r>
        <w:rPr>
          <w:rFonts w:ascii="Times New Roman" w:hAnsi="Times New Roman" w:eastAsia="宋体"/>
          <w:b w:val="0"/>
          <w:color w:val="7F8C8D"/>
          <w:sz w:val="24"/>
        </w:rPr>
        <w:t>审查时间：2026-09-11</w:t>
      </w:r>
    </w:p>
    <w:p>
      <w:pPr>
        <w:spacing w:after="1200"/>
        <w:jc w:val="center"/>
      </w:pPr>
      <w:r>
        <w:rPr>
          <w:rFonts w:ascii="Times New Roman" w:hAnsi="Times New Roman" w:eastAsia="宋体"/>
          <w:b w:val="0"/>
          <w:color w:val="7F8C8D"/>
          <w:sz w:val="24"/>
        </w:rPr>
        <w:t>审查机构：合同智能审查系统</w:t>
      </w:r>
    </w:p>
    <w:p>
      <w:pPr>
        <w:spacing w:after="160"/>
        <w:jc w:val="center"/>
      </w:pPr>
      <w:r>
        <w:rPr>
          <w:rFonts w:ascii="Times New Roman" w:hAnsi="Times New Roman" w:eastAsia="黑体"/>
          <w:b/>
          <w:color w:val="C0392B"/>
          <w:sz w:val="40"/>
        </w:rPr>
        <w:t>综合风险等级：中高风险</w:t>
      </w:r>
    </w:p>
    <w:p>
      <w:r>
        <w:br w:type="page"/>
      </w:r>
    </w:p>
    <w:p>
      <w:pPr>
        <w:spacing w:before="240" w:after="200" w:line="360" w:lineRule="auto"/>
        <w:jc w:val="center"/>
      </w:pPr>
      <w:r>
        <w:rPr>
          <w:rFonts w:ascii="黑体" w:hAnsi="黑体" w:eastAsia="黑体"/>
          <w:b/>
          <w:color w:val="2C3E50"/>
          <w:sz w:val="32"/>
        </w:rPr>
        <w:t>一、基本信息</w:t>
      </w:r>
    </w:p>
    <w:tbl>
      <w:tblPr>
        <w:tblW w:type="auto" w:w="0"/>
        <w:jc w:val="center"/>
        <w:tblLayout w:type="fixed"/>
        <w:tblLook w:firstColumn="1" w:firstRow="1" w:lastColumn="0" w:lastRow="0" w:noHBand="0" w:noVBand="1" w:val="04A0"/>
      </w:tblPr>
      <w:tblGrid>
        <w:gridCol w:w="4536"/>
        <w:gridCol w:w="4536"/>
      </w:tblGrid>
      <w:tr>
        <w:tc>
          <w:tcPr>
            <w:tcW w:type="dxa" w:w="2268"/>
            <w:tcBorders>
              <w:top w:val="single" w:sz="12" w:color="000000"/>
              <w:left w:val="nil"/>
              <w:bottom w:val="single" w:sz="8" w:color="000000"/>
              <w:right w:val="nil"/>
            </w:tcBorders>
            <w:shd w:val="clear" w:color="auto" w:fill="EAEAEA"/>
          </w:tcPr>
          <w:p>
            <w:r/>
            <w:r>
              <w:rPr>
                <w:rFonts w:ascii="Times New Roman" w:hAnsi="Times New Roman" w:eastAsia="宋体"/>
                <w:b/>
                <w:color w:val="2C3E50"/>
                <w:sz w:val="24"/>
              </w:rPr>
              <w:t>合同类型</w:t>
            </w:r>
          </w:p>
        </w:tc>
        <w:tc>
          <w:tcPr>
            <w:tcW w:type="dxa" w:w="6803"/>
            <w:tcBorders>
              <w:top w:val="single" w:sz="12" w:color="000000"/>
              <w:left w:val="nil"/>
              <w:bottom w:val="single" w:sz="8" w:color="000000"/>
              <w:right w:val="nil"/>
            </w:tcBorders>
            <w:shd w:val="clear" w:color="auto" w:fill="EAEAEA"/>
          </w:tcPr>
          <w:p>
            <w:r/>
            <w:r>
              <w:rPr>
                <w:rFonts w:ascii="Times New Roman" w:hAnsi="Times New Roman" w:eastAsia="宋体"/>
                <w:b w:val="0"/>
                <w:sz w:val="24"/>
              </w:rPr>
              <w:t>软件开发实施服务合同（系统软件实施服务）</w:t>
            </w:r>
          </w:p>
        </w:tc>
      </w:tr>
      <w:tr>
        <w:tc>
          <w:tcPr>
            <w:tcW w:type="dxa" w:w="2268"/>
            <w:tcBorders>
              <w:top w:val="nil"/>
              <w:left w:val="nil"/>
              <w:bottom w:val="nil"/>
              <w:right w:val="nil"/>
            </w:tcBorders>
          </w:tcPr>
          <w:p>
            <w:r/>
            <w:r>
              <w:rPr>
                <w:rFonts w:ascii="Times New Roman" w:hAnsi="Times New Roman" w:eastAsia="宋体"/>
                <w:b/>
                <w:color w:val="2C3E50"/>
                <w:sz w:val="24"/>
              </w:rPr>
              <w:t>合同名称</w:t>
            </w:r>
          </w:p>
        </w:tc>
        <w:tc>
          <w:tcPr>
            <w:tcW w:type="dxa" w:w="6803"/>
            <w:tcBorders>
              <w:top w:val="nil"/>
              <w:left w:val="nil"/>
              <w:bottom w:val="nil"/>
              <w:right w:val="nil"/>
            </w:tcBorders>
          </w:tcPr>
          <w:p>
            <w:r/>
            <w:r>
              <w:rPr>
                <w:rFonts w:ascii="Times New Roman" w:hAnsi="Times New Roman" w:eastAsia="宋体"/>
                <w:b w:val="0"/>
                <w:sz w:val="24"/>
              </w:rPr>
              <w:t>生产区域安全 AI 识别系统软件开发服务合同</w:t>
            </w:r>
          </w:p>
        </w:tc>
      </w:tr>
      <w:tr>
        <w:tc>
          <w:tcPr>
            <w:tcW w:type="dxa" w:w="2268"/>
            <w:tcBorders>
              <w:top w:val="nil"/>
              <w:left w:val="nil"/>
              <w:bottom w:val="nil"/>
              <w:right w:val="nil"/>
            </w:tcBorders>
          </w:tcPr>
          <w:p>
            <w:r/>
            <w:r>
              <w:rPr>
                <w:rFonts w:ascii="Times New Roman" w:hAnsi="Times New Roman" w:eastAsia="宋体"/>
                <w:b/>
                <w:color w:val="2C3E50"/>
                <w:sz w:val="24"/>
              </w:rPr>
              <w:t>合同编号</w:t>
            </w:r>
          </w:p>
        </w:tc>
        <w:tc>
          <w:tcPr>
            <w:tcW w:type="dxa" w:w="6803"/>
            <w:tcBorders>
              <w:top w:val="nil"/>
              <w:left w:val="nil"/>
              <w:bottom w:val="nil"/>
              <w:right w:val="nil"/>
            </w:tcBorders>
          </w:tcPr>
          <w:p>
            <w:r/>
            <w:r>
              <w:rPr>
                <w:rFonts w:ascii="Times New Roman" w:hAnsi="Times New Roman" w:eastAsia="宋体"/>
                <w:b w:val="0"/>
                <w:sz w:val="24"/>
              </w:rPr>
              <w:t>2024562</w:t>
            </w:r>
          </w:p>
        </w:tc>
      </w:tr>
      <w:tr>
        <w:tc>
          <w:tcPr>
            <w:tcW w:type="dxa" w:w="2268"/>
            <w:tcBorders>
              <w:top w:val="nil"/>
              <w:left w:val="nil"/>
              <w:bottom w:val="nil"/>
              <w:right w:val="nil"/>
            </w:tcBorders>
          </w:tcPr>
          <w:p>
            <w:r/>
            <w:r>
              <w:rPr>
                <w:rFonts w:ascii="Times New Roman" w:hAnsi="Times New Roman" w:eastAsia="宋体"/>
                <w:b/>
                <w:color w:val="2C3E50"/>
                <w:sz w:val="24"/>
              </w:rPr>
              <w:t>甲方（使用方）</w:t>
            </w:r>
          </w:p>
        </w:tc>
        <w:tc>
          <w:tcPr>
            <w:tcW w:type="dxa" w:w="6803"/>
            <w:tcBorders>
              <w:top w:val="nil"/>
              <w:left w:val="nil"/>
              <w:bottom w:val="nil"/>
              <w:right w:val="nil"/>
            </w:tcBorders>
          </w:tcPr>
          <w:p>
            <w:r/>
            <w:r>
              <w:rPr>
                <w:rFonts w:ascii="Times New Roman" w:hAnsi="Times New Roman" w:eastAsia="宋体"/>
                <w:b w:val="0"/>
                <w:sz w:val="24"/>
              </w:rPr>
              <w:t>常州某某金属材料科技有限公司</w:t>
            </w:r>
          </w:p>
        </w:tc>
      </w:tr>
      <w:tr>
        <w:tc>
          <w:tcPr>
            <w:tcW w:type="dxa" w:w="2268"/>
            <w:tcBorders>
              <w:top w:val="nil"/>
              <w:left w:val="nil"/>
              <w:bottom w:val="nil"/>
              <w:right w:val="nil"/>
            </w:tcBorders>
          </w:tcPr>
          <w:p>
            <w:r/>
            <w:r>
              <w:rPr>
                <w:rFonts w:ascii="Times New Roman" w:hAnsi="Times New Roman" w:eastAsia="宋体"/>
                <w:b/>
                <w:color w:val="2C3E50"/>
                <w:sz w:val="24"/>
              </w:rPr>
              <w:t>乙方（服务方）</w:t>
            </w:r>
          </w:p>
        </w:tc>
        <w:tc>
          <w:tcPr>
            <w:tcW w:type="dxa" w:w="6803"/>
            <w:tcBorders>
              <w:top w:val="nil"/>
              <w:left w:val="nil"/>
              <w:bottom w:val="nil"/>
              <w:right w:val="nil"/>
            </w:tcBorders>
          </w:tcPr>
          <w:p>
            <w:r/>
            <w:r>
              <w:rPr>
                <w:rFonts w:ascii="Times New Roman" w:hAnsi="Times New Roman" w:eastAsia="宋体"/>
                <w:b w:val="0"/>
                <w:sz w:val="24"/>
              </w:rPr>
              <w:t>常州零零信息科技有限公司</w:t>
            </w:r>
          </w:p>
        </w:tc>
      </w:tr>
      <w:tr>
        <w:tc>
          <w:tcPr>
            <w:tcW w:type="dxa" w:w="2268"/>
            <w:tcBorders>
              <w:top w:val="nil"/>
              <w:left w:val="nil"/>
              <w:bottom w:val="nil"/>
              <w:right w:val="nil"/>
            </w:tcBorders>
          </w:tcPr>
          <w:p>
            <w:r/>
            <w:r>
              <w:rPr>
                <w:rFonts w:ascii="Times New Roman" w:hAnsi="Times New Roman" w:eastAsia="宋体"/>
                <w:b/>
                <w:color w:val="2C3E50"/>
                <w:sz w:val="24"/>
              </w:rPr>
              <w:t>合同金额</w:t>
            </w:r>
          </w:p>
        </w:tc>
        <w:tc>
          <w:tcPr>
            <w:tcW w:type="dxa" w:w="6803"/>
            <w:tcBorders>
              <w:top w:val="nil"/>
              <w:left w:val="nil"/>
              <w:bottom w:val="nil"/>
              <w:right w:val="nil"/>
            </w:tcBorders>
          </w:tcPr>
          <w:p>
            <w:r/>
            <w:r>
              <w:rPr>
                <w:rFonts w:ascii="Times New Roman" w:hAnsi="Times New Roman" w:eastAsia="宋体"/>
                <w:b w:val="0"/>
                <w:sz w:val="24"/>
              </w:rPr>
              <w:t>￥80,667 元（含 3% 增值税）</w:t>
            </w:r>
          </w:p>
        </w:tc>
      </w:tr>
      <w:tr>
        <w:tc>
          <w:tcPr>
            <w:tcW w:type="dxa" w:w="2268"/>
            <w:tcBorders>
              <w:top w:val="nil"/>
              <w:left w:val="nil"/>
              <w:bottom w:val="nil"/>
              <w:right w:val="nil"/>
            </w:tcBorders>
          </w:tcPr>
          <w:p>
            <w:r/>
            <w:r>
              <w:rPr>
                <w:rFonts w:ascii="Times New Roman" w:hAnsi="Times New Roman" w:eastAsia="宋体"/>
                <w:b/>
                <w:color w:val="2C3E50"/>
                <w:sz w:val="24"/>
              </w:rPr>
              <w:t>签订时间</w:t>
            </w:r>
          </w:p>
        </w:tc>
        <w:tc>
          <w:tcPr>
            <w:tcW w:type="dxa" w:w="6803"/>
            <w:tcBorders>
              <w:top w:val="nil"/>
              <w:left w:val="nil"/>
              <w:bottom w:val="nil"/>
              <w:right w:val="nil"/>
            </w:tcBorders>
          </w:tcPr>
          <w:p>
            <w:r/>
            <w:r>
              <w:rPr>
                <w:rFonts w:ascii="Times New Roman" w:hAnsi="Times New Roman" w:eastAsia="宋体"/>
                <w:b w:val="0"/>
                <w:sz w:val="24"/>
              </w:rPr>
              <w:t>2024 年 01 月</w:t>
            </w:r>
          </w:p>
        </w:tc>
      </w:tr>
      <w:tr>
        <w:tc>
          <w:tcPr>
            <w:tcW w:type="dxa" w:w="2268"/>
            <w:tcBorders>
              <w:top w:val="nil"/>
              <w:left w:val="nil"/>
              <w:bottom w:val="nil"/>
              <w:right w:val="nil"/>
            </w:tcBorders>
          </w:tcPr>
          <w:p>
            <w:r/>
            <w:r>
              <w:rPr>
                <w:rFonts w:ascii="Times New Roman" w:hAnsi="Times New Roman" w:eastAsia="宋体"/>
                <w:b/>
                <w:color w:val="2C3E50"/>
                <w:sz w:val="24"/>
              </w:rPr>
              <w:t>项目地点</w:t>
            </w:r>
          </w:p>
        </w:tc>
        <w:tc>
          <w:tcPr>
            <w:tcW w:type="dxa" w:w="6803"/>
            <w:tcBorders>
              <w:top w:val="nil"/>
              <w:left w:val="nil"/>
              <w:bottom w:val="nil"/>
              <w:right w:val="nil"/>
            </w:tcBorders>
          </w:tcPr>
          <w:p>
            <w:r/>
            <w:r>
              <w:rPr>
                <w:rFonts w:ascii="Times New Roman" w:hAnsi="Times New Roman" w:eastAsia="宋体"/>
                <w:b w:val="0"/>
                <w:sz w:val="24"/>
              </w:rPr>
              <w:t>常州</w:t>
            </w:r>
          </w:p>
        </w:tc>
      </w:tr>
      <w:tr>
        <w:tc>
          <w:tcPr>
            <w:tcW w:type="dxa" w:w="2268"/>
            <w:tcBorders>
              <w:top w:val="nil"/>
              <w:left w:val="nil"/>
              <w:bottom w:val="nil"/>
              <w:right w:val="nil"/>
            </w:tcBorders>
          </w:tcPr>
          <w:p>
            <w:r/>
            <w:r>
              <w:rPr>
                <w:rFonts w:ascii="Times New Roman" w:hAnsi="Times New Roman" w:eastAsia="宋体"/>
                <w:b/>
                <w:color w:val="2C3E50"/>
                <w:sz w:val="24"/>
              </w:rPr>
              <w:t>审查时间</w:t>
            </w:r>
          </w:p>
        </w:tc>
        <w:tc>
          <w:tcPr>
            <w:tcW w:type="dxa" w:w="6803"/>
            <w:tcBorders>
              <w:top w:val="nil"/>
              <w:left w:val="nil"/>
              <w:bottom w:val="nil"/>
              <w:right w:val="nil"/>
            </w:tcBorders>
          </w:tcPr>
          <w:p>
            <w:r/>
            <w:r>
              <w:rPr>
                <w:rFonts w:ascii="Times New Roman" w:hAnsi="Times New Roman" w:eastAsia="宋体"/>
                <w:b w:val="0"/>
                <w:sz w:val="24"/>
              </w:rPr>
              <w:t>2026-09-11</w:t>
            </w:r>
          </w:p>
        </w:tc>
      </w:tr>
      <w:tr>
        <w:tc>
          <w:tcPr>
            <w:tcW w:type="dxa" w:w="2268"/>
            <w:tcBorders>
              <w:top w:val="nil"/>
              <w:left w:val="nil"/>
              <w:bottom w:val="single" w:sz="12" w:color="000000"/>
              <w:right w:val="nil"/>
            </w:tcBorders>
          </w:tcPr>
          <w:p>
            <w:r/>
            <w:r>
              <w:rPr>
                <w:rFonts w:ascii="Times New Roman" w:hAnsi="Times New Roman" w:eastAsia="宋体"/>
                <w:b/>
                <w:color w:val="2C3E50"/>
                <w:sz w:val="24"/>
              </w:rPr>
              <w:t>综合风险等级</w:t>
            </w:r>
          </w:p>
        </w:tc>
        <w:tc>
          <w:tcPr>
            <w:tcW w:type="dxa" w:w="6803"/>
            <w:tcBorders>
              <w:top w:val="nil"/>
              <w:left w:val="nil"/>
              <w:bottom w:val="single" w:sz="12" w:color="000000"/>
              <w:right w:val="nil"/>
            </w:tcBorders>
          </w:tcPr>
          <w:p>
            <w:r/>
            <w:r>
              <w:rPr>
                <w:rFonts w:ascii="Times New Roman" w:hAnsi="Times New Roman" w:eastAsia="宋体"/>
                <w:b w:val="0"/>
                <w:sz w:val="24"/>
              </w:rPr>
              <w:t>中高风险</w:t>
            </w:r>
          </w:p>
        </w:tc>
      </w:tr>
    </w:tbl>
    <w:p/>
    <w:p>
      <w:pPr>
        <w:spacing w:before="240" w:after="200" w:line="360" w:lineRule="auto"/>
        <w:jc w:val="center"/>
      </w:pPr>
      <w:r>
        <w:rPr>
          <w:rFonts w:ascii="黑体" w:hAnsi="黑体" w:eastAsia="黑体"/>
          <w:b/>
          <w:color w:val="2C3E50"/>
          <w:sz w:val="32"/>
        </w:rPr>
        <w:t>二、风险总览</w:t>
      </w:r>
    </w:p>
    <w:tbl>
      <w:tblPr>
        <w:tblW w:type="auto" w:w="0"/>
        <w:jc w:val="center"/>
        <w:tblLook w:firstColumn="1" w:firstRow="1" w:lastColumn="0" w:lastRow="0" w:noHBand="0" w:noVBand="1" w:val="04A0"/>
      </w:tblPr>
      <w:tblGrid>
        <w:gridCol w:w="4536"/>
        <w:gridCol w:w="4536"/>
      </w:tblGrid>
      <w:tr>
        <w:tc>
          <w:tcPr>
            <w:tcW w:type="dxa" w:w="4535"/>
            <w:tcBorders>
              <w:top w:val="single" w:sz="12" w:color="000000"/>
              <w:left w:val="nil"/>
              <w:bottom w:val="single" w:sz="8" w:color="000000"/>
              <w:right w:val="nil"/>
            </w:tcBorders>
            <w:shd w:val="clear" w:color="auto" w:fill="EAEAEA"/>
          </w:tcPr>
          <w:p>
            <w:pPr>
              <w:jc w:val="center"/>
            </w:pPr>
            <w:r>
              <w:rPr>
                <w:rFonts w:ascii="Times New Roman" w:hAnsi="Times New Roman" w:eastAsia="宋体"/>
                <w:b/>
                <w:color w:val="2C3E50"/>
                <w:sz w:val="24"/>
              </w:rPr>
              <w:t>风险类型</w:t>
            </w:r>
          </w:p>
        </w:tc>
        <w:tc>
          <w:tcPr>
            <w:tcW w:type="dxa" w:w="2268"/>
            <w:tcBorders>
              <w:top w:val="single" w:sz="12" w:color="000000"/>
              <w:left w:val="nil"/>
              <w:bottom w:val="single" w:sz="8" w:color="000000"/>
              <w:right w:val="nil"/>
            </w:tcBorders>
            <w:shd w:val="clear" w:color="auto" w:fill="EAEAEA"/>
          </w:tcPr>
          <w:p>
            <w:pPr>
              <w:jc w:val="center"/>
            </w:pPr>
            <w:r>
              <w:rPr>
                <w:rFonts w:ascii="Times New Roman" w:hAnsi="Times New Roman" w:eastAsia="宋体"/>
                <w:b/>
                <w:color w:val="2C3E50"/>
                <w:sz w:val="24"/>
              </w:rPr>
              <w:t>数量</w:t>
            </w:r>
          </w:p>
        </w:tc>
      </w:tr>
      <w:tr>
        <w:tc>
          <w:tcPr>
            <w:tcW w:type="dxa" w:w="4535"/>
            <w:tcBorders>
              <w:top w:val="nil"/>
              <w:left w:val="nil"/>
              <w:bottom w:val="nil"/>
              <w:right w:val="nil"/>
            </w:tcBorders>
          </w:tcPr>
          <w:p>
            <w:pPr>
              <w:jc w:val="left"/>
            </w:pPr>
            <w:r/>
            <w:r>
              <w:rPr>
                <w:rFonts w:ascii="Times New Roman" w:hAnsi="Times New Roman" w:eastAsia="宋体"/>
                <w:b/>
                <w:color w:val="C0392B"/>
                <w:sz w:val="24"/>
              </w:rPr>
              <w:t>高风险条款</w:t>
            </w:r>
          </w:p>
        </w:tc>
        <w:tc>
          <w:tcPr>
            <w:tcW w:type="dxa" w:w="2268"/>
            <w:tcBorders>
              <w:top w:val="nil"/>
              <w:left w:val="nil"/>
              <w:bottom w:val="nil"/>
              <w:right w:val="nil"/>
            </w:tcBorders>
          </w:tcPr>
          <w:p>
            <w:pPr>
              <w:jc w:val="center"/>
            </w:pPr>
            <w:r/>
            <w:r>
              <w:rPr>
                <w:rFonts w:ascii="Times New Roman" w:hAnsi="Times New Roman" w:eastAsia="宋体"/>
                <w:b w:val="0"/>
                <w:color w:val="C0392B"/>
                <w:sz w:val="24"/>
              </w:rPr>
              <w:t>7</w:t>
            </w:r>
          </w:p>
        </w:tc>
      </w:tr>
      <w:tr>
        <w:tc>
          <w:tcPr>
            <w:tcW w:type="dxa" w:w="4535"/>
            <w:tcBorders>
              <w:top w:val="nil"/>
              <w:left w:val="nil"/>
              <w:bottom w:val="nil"/>
              <w:right w:val="nil"/>
            </w:tcBorders>
          </w:tcPr>
          <w:p>
            <w:pPr>
              <w:jc w:val="left"/>
            </w:pPr>
            <w:r/>
            <w:r>
              <w:rPr>
                <w:rFonts w:ascii="Times New Roman" w:hAnsi="Times New Roman" w:eastAsia="宋体"/>
                <w:b/>
                <w:color w:val="E67E22"/>
                <w:sz w:val="24"/>
              </w:rPr>
              <w:t>中风险条款</w:t>
            </w:r>
          </w:p>
        </w:tc>
        <w:tc>
          <w:tcPr>
            <w:tcW w:type="dxa" w:w="2268"/>
            <w:tcBorders>
              <w:top w:val="nil"/>
              <w:left w:val="nil"/>
              <w:bottom w:val="nil"/>
              <w:right w:val="nil"/>
            </w:tcBorders>
          </w:tcPr>
          <w:p>
            <w:pPr>
              <w:jc w:val="center"/>
            </w:pPr>
            <w:r/>
            <w:r>
              <w:rPr>
                <w:rFonts w:ascii="Times New Roman" w:hAnsi="Times New Roman" w:eastAsia="宋体"/>
                <w:b w:val="0"/>
                <w:color w:val="E67E22"/>
                <w:sz w:val="24"/>
              </w:rPr>
              <w:t>5</w:t>
            </w:r>
          </w:p>
        </w:tc>
      </w:tr>
      <w:tr>
        <w:tc>
          <w:tcPr>
            <w:tcW w:type="dxa" w:w="4535"/>
            <w:tcBorders>
              <w:top w:val="nil"/>
              <w:left w:val="nil"/>
              <w:bottom w:val="nil"/>
              <w:right w:val="nil"/>
            </w:tcBorders>
          </w:tcPr>
          <w:p>
            <w:pPr>
              <w:jc w:val="left"/>
            </w:pPr>
            <w:r/>
            <w:r>
              <w:rPr>
                <w:rFonts w:ascii="Times New Roman" w:hAnsi="Times New Roman" w:eastAsia="宋体"/>
                <w:b/>
                <w:color w:val="27AE60"/>
                <w:sz w:val="24"/>
              </w:rPr>
              <w:t>低风险条款</w:t>
            </w:r>
          </w:p>
        </w:tc>
        <w:tc>
          <w:tcPr>
            <w:tcW w:type="dxa" w:w="2268"/>
            <w:tcBorders>
              <w:top w:val="nil"/>
              <w:left w:val="nil"/>
              <w:bottom w:val="nil"/>
              <w:right w:val="nil"/>
            </w:tcBorders>
          </w:tcPr>
          <w:p>
            <w:pPr>
              <w:jc w:val="center"/>
            </w:pPr>
            <w:r/>
            <w:r>
              <w:rPr>
                <w:rFonts w:ascii="Times New Roman" w:hAnsi="Times New Roman" w:eastAsia="宋体"/>
                <w:b w:val="0"/>
                <w:color w:val="27AE60"/>
                <w:sz w:val="24"/>
              </w:rPr>
              <w:t>4</w:t>
            </w:r>
          </w:p>
        </w:tc>
      </w:tr>
      <w:tr>
        <w:tc>
          <w:tcPr>
            <w:tcW w:type="dxa" w:w="4535"/>
            <w:tcBorders>
              <w:top w:val="nil"/>
              <w:left w:val="nil"/>
              <w:bottom w:val="single" w:sz="12" w:color="000000"/>
              <w:right w:val="nil"/>
            </w:tcBorders>
          </w:tcPr>
          <w:p>
            <w:pPr>
              <w:jc w:val="left"/>
            </w:pPr>
            <w:r/>
            <w:r>
              <w:rPr>
                <w:rFonts w:ascii="Times New Roman" w:hAnsi="Times New Roman" w:eastAsia="宋体"/>
                <w:b/>
                <w:color w:val="2C3E50"/>
                <w:sz w:val="24"/>
              </w:rPr>
              <w:t>缺失条款</w:t>
            </w:r>
          </w:p>
        </w:tc>
        <w:tc>
          <w:tcPr>
            <w:tcW w:type="dxa" w:w="2268"/>
            <w:tcBorders>
              <w:top w:val="nil"/>
              <w:left w:val="nil"/>
              <w:bottom w:val="single" w:sz="12" w:color="000000"/>
              <w:right w:val="nil"/>
            </w:tcBorders>
          </w:tcPr>
          <w:p>
            <w:pPr>
              <w:jc w:val="center"/>
            </w:pPr>
            <w:r/>
            <w:r>
              <w:rPr>
                <w:rFonts w:ascii="Times New Roman" w:hAnsi="Times New Roman" w:eastAsia="宋体"/>
                <w:b w:val="0"/>
                <w:color w:val="2C3E50"/>
                <w:sz w:val="24"/>
              </w:rPr>
              <w:t>8</w:t>
            </w:r>
          </w:p>
        </w:tc>
      </w:tr>
    </w:tbl>
    <w:p/>
    <w:p>
      <w:pPr>
        <w:spacing w:before="240" w:after="200" w:line="360" w:lineRule="auto"/>
        <w:jc w:val="center"/>
      </w:pPr>
      <w:r>
        <w:rPr>
          <w:rFonts w:ascii="黑体" w:hAnsi="黑体" w:eastAsia="黑体"/>
          <w:b/>
          <w:color w:val="2C3E50"/>
          <w:sz w:val="32"/>
        </w:rPr>
        <w:t>三、签约公司外部风险及工商信息审核</w:t>
      </w:r>
    </w:p>
    <w:p>
      <w:pPr>
        <w:spacing w:before="120" w:after="80" w:line="360" w:lineRule="auto"/>
      </w:pPr>
      <w:r>
        <w:rPr>
          <w:rFonts w:ascii="Times New Roman" w:hAnsi="Times New Roman" w:eastAsia="宋体"/>
          <w:b/>
          <w:color w:val="C0392B"/>
          <w:sz w:val="24"/>
        </w:rPr>
        <w:t>风险点 1</w:t>
      </w:r>
    </w:p>
    <w:p>
      <w:pPr>
        <w:spacing w:before="40" w:after="40" w:line="360" w:lineRule="auto"/>
      </w:pPr>
      <w:r>
        <w:rPr>
          <w:rFonts w:ascii="Times New Roman" w:hAnsi="Times New Roman" w:eastAsia="宋体"/>
          <w:b/>
          <w:color w:val="C0392B"/>
          <w:sz w:val="24"/>
        </w:rPr>
        <w:t>风险等级：</w:t>
      </w:r>
      <w:r>
        <w:rPr>
          <w:rFonts w:ascii="Times New Roman" w:hAnsi="Times New Roman" w:eastAsia="宋体"/>
          <w:b w:val="0"/>
          <w:sz w:val="24"/>
        </w:rPr>
        <w:t>高风险</w:t>
      </w:r>
    </w:p>
    <w:p>
      <w:pPr>
        <w:spacing w:before="40" w:after="40" w:line="360" w:lineRule="auto"/>
      </w:pPr>
      <w:r>
        <w:rPr>
          <w:rFonts w:ascii="Times New Roman" w:hAnsi="Times New Roman" w:eastAsia="宋体"/>
          <w:b/>
          <w:color w:val="C0392B"/>
          <w:sz w:val="24"/>
        </w:rPr>
        <w:t>问题描述：</w:t>
      </w:r>
    </w:p>
    <w:p>
      <w:pPr>
        <w:spacing w:before="0" w:after="40" w:line="360" w:lineRule="auto"/>
        <w:ind w:left="480"/>
      </w:pPr>
      <w:r>
        <w:rPr>
          <w:rFonts w:ascii="Times New Roman" w:hAnsi="Times New Roman" w:eastAsia="宋体"/>
          <w:b w:val="0"/>
          <w:sz w:val="24"/>
        </w:rPr>
        <w:t>签约主体信息存在大量占位符，无法用于实际签约或工商核验；存在主体不实风险。</w:t>
      </w:r>
    </w:p>
    <w:p>
      <w:pPr>
        <w:spacing w:before="40" w:after="40" w:line="360" w:lineRule="auto"/>
      </w:pPr>
      <w:r>
        <w:rPr>
          <w:rFonts w:ascii="Times New Roman" w:hAnsi="Times New Roman" w:eastAsia="宋体"/>
          <w:b/>
          <w:color w:val="C0392B"/>
          <w:sz w:val="24"/>
        </w:rPr>
        <w:t>依据：</w:t>
      </w:r>
    </w:p>
    <w:p>
      <w:pPr>
        <w:spacing w:before="0" w:after="40" w:line="360" w:lineRule="auto"/>
        <w:ind w:left="480"/>
      </w:pPr>
      <w:r>
        <w:rPr>
          <w:rFonts w:ascii="Times New Roman" w:hAnsi="Times New Roman" w:eastAsia="宋体"/>
          <w:b w:val="0"/>
          <w:sz w:val="24"/>
        </w:rPr>
        <w:t>合同文本中甲方名称为「常州某某金属材料科技有限公司」（「常州 AA 区 BB 路 CC 号」、电话「0523-123456」、纳税人识别号「964861315385692X6」等字段明显为占位数据）；乙方「常州零零信息科技有限公司」地址「常州 DD 路 FF 号 C 座 501」、纳税人识别号「935438545MA1Y6H265465」同样为占位。甲方项目负责人「AAA」、电话「1565468475」亦为占位。</w:t>
      </w:r>
    </w:p>
    <w:p>
      <w:pPr>
        <w:spacing w:before="0" w:after="40" w:line="360" w:lineRule="auto"/>
        <w:ind w:left="480"/>
      </w:pPr>
      <w:r>
        <w:rPr>
          <w:rFonts w:ascii="Times New Roman" w:hAnsi="Times New Roman" w:eastAsia="宋体"/>
          <w:b w:val="0"/>
          <w:sz w:val="24"/>
        </w:rPr>
        <w:t>建议签约前通过国家企业信用信息公示系统、企查查等核查双方真实工商登记信息（注册资本、经营状态、是否存续、行政处罚、司法风险、股东及实控人）。</w:t>
      </w:r>
    </w:p>
    <w:p>
      <w:pPr>
        <w:spacing w:before="120" w:after="80" w:line="360" w:lineRule="auto"/>
      </w:pPr>
      <w:r>
        <w:rPr>
          <w:rFonts w:ascii="Times New Roman" w:hAnsi="Times New Roman" w:eastAsia="宋体"/>
          <w:b/>
          <w:color w:val="E67E22"/>
          <w:sz w:val="24"/>
        </w:rPr>
        <w:t>风险点 2</w:t>
      </w:r>
    </w:p>
    <w:p>
      <w:pPr>
        <w:spacing w:before="40" w:after="40" w:line="360" w:lineRule="auto"/>
      </w:pPr>
      <w:r>
        <w:rPr>
          <w:rFonts w:ascii="Times New Roman" w:hAnsi="Times New Roman" w:eastAsia="宋体"/>
          <w:b/>
          <w:color w:val="E67E22"/>
          <w:sz w:val="24"/>
        </w:rPr>
        <w:t>风险等级：</w:t>
      </w:r>
      <w:r>
        <w:rPr>
          <w:rFonts w:ascii="Times New Roman" w:hAnsi="Times New Roman" w:eastAsia="宋体"/>
          <w:b w:val="0"/>
          <w:sz w:val="24"/>
        </w:rPr>
        <w:t>中风险</w:t>
      </w:r>
    </w:p>
    <w:p>
      <w:pPr>
        <w:spacing w:before="40" w:after="40" w:line="360" w:lineRule="auto"/>
      </w:pPr>
      <w:r>
        <w:rPr>
          <w:rFonts w:ascii="Times New Roman" w:hAnsi="Times New Roman" w:eastAsia="宋体"/>
          <w:b/>
          <w:color w:val="E67E22"/>
          <w:sz w:val="24"/>
        </w:rPr>
        <w:t>问题描述：</w:t>
      </w:r>
    </w:p>
    <w:p>
      <w:pPr>
        <w:spacing w:before="0" w:after="40" w:line="360" w:lineRule="auto"/>
        <w:ind w:left="480"/>
      </w:pPr>
      <w:r>
        <w:rPr>
          <w:rFonts w:ascii="Times New Roman" w:hAnsi="Times New Roman" w:eastAsia="宋体"/>
          <w:b w:val="0"/>
          <w:sz w:val="24"/>
        </w:rPr>
        <w:t>标的为「生产区域安全 AI 识别系统」，部署于熔铸、放水等高危工业现场，签约主体行业属性（金属材料科技）与生产安全合规要求高，建议核查乙方是否具备相应的工业 AI 实施资质与安全合规记录。</w:t>
      </w:r>
    </w:p>
    <w:p>
      <w:pPr>
        <w:spacing w:before="40" w:after="40" w:line="360" w:lineRule="auto"/>
      </w:pPr>
      <w:r>
        <w:rPr>
          <w:rFonts w:ascii="Times New Roman" w:hAnsi="Times New Roman" w:eastAsia="宋体"/>
          <w:b/>
          <w:color w:val="E67E22"/>
          <w:sz w:val="24"/>
        </w:rPr>
        <w:t>依据：</w:t>
      </w:r>
    </w:p>
    <w:p>
      <w:pPr>
        <w:spacing w:before="0" w:after="40" w:line="360" w:lineRule="auto"/>
        <w:ind w:left="480"/>
      </w:pPr>
      <w:r>
        <w:rPr>
          <w:rFonts w:ascii="Times New Roman" w:hAnsi="Times New Roman" w:eastAsia="宋体"/>
          <w:b w:val="0"/>
          <w:sz w:val="24"/>
        </w:rPr>
        <w:t>合同第 2 页及附件 4.2 功能列表（神经网络、识别模型、声光报警）显示项目涉及工业现场人脸/行为识别与报警。需核查乙方在工业 AI、应急管理或安全监管领域的相关业绩与项目案例，避免签约后乙方履约能力不足导致项目失败。</w:t>
      </w:r>
    </w:p>
    <w:p>
      <w:r>
        <w:br w:type="page"/>
      </w:r>
    </w:p>
    <w:p>
      <w:pPr>
        <w:spacing w:before="240" w:after="200" w:line="360" w:lineRule="auto"/>
        <w:jc w:val="center"/>
      </w:pPr>
      <w:r>
        <w:rPr>
          <w:rFonts w:ascii="黑体" w:hAnsi="黑体" w:eastAsia="黑体"/>
          <w:b/>
          <w:color w:val="2C3E50"/>
          <w:sz w:val="32"/>
        </w:rPr>
        <w:t>四、风险清单</w:t>
      </w:r>
    </w:p>
    <w:p>
      <w:pPr>
        <w:spacing w:before="120" w:after="80" w:line="360" w:lineRule="auto"/>
      </w:pPr>
      <w:r>
        <w:rPr>
          <w:rFonts w:ascii="Times New Roman" w:hAnsi="Times New Roman" w:eastAsia="宋体"/>
          <w:b/>
          <w:color w:val="C0392B"/>
          <w:sz w:val="24"/>
        </w:rPr>
        <w:t>【高风险】第五条第 1 款 — 知识产权归属「共同所有」对甲方极为不利</w:t>
      </w:r>
    </w:p>
    <w:p>
      <w:pPr>
        <w:spacing w:before="40" w:after="40" w:line="360" w:lineRule="auto"/>
      </w:pPr>
      <w:r>
        <w:rPr>
          <w:rFonts w:ascii="Times New Roman" w:hAnsi="Times New Roman" w:eastAsia="宋体"/>
          <w:b/>
          <w:color w:val="C0392B"/>
          <w:sz w:val="24"/>
        </w:rPr>
        <w:t>问题描述：</w:t>
      </w:r>
      <w:r>
        <w:rPr>
          <w:rFonts w:ascii="Times New Roman" w:hAnsi="Times New Roman" w:eastAsia="宋体"/>
          <w:b w:val="0"/>
          <w:sz w:val="24"/>
        </w:rPr>
        <w:t>约定「在乙方完成《开发实施需求说明书》所列示的工作后，并在甲方付清项目全部费用的前提下，乙方向甲方提交的技术开发成果的知识产权归甲乙双方共同所有」。甲方支付了全部合同款项却仅取得共有权，乙方可自由实施、许可第三方使用相同技术成果，严重背离「谁出资、谁享有」的市场惯例。</w:t>
      </w:r>
    </w:p>
    <w:p>
      <w:pPr>
        <w:spacing w:before="40" w:after="40" w:line="360" w:lineRule="auto"/>
      </w:pPr>
      <w:r>
        <w:rPr>
          <w:rFonts w:ascii="Times New Roman" w:hAnsi="Times New Roman" w:eastAsia="宋体"/>
          <w:b/>
          <w:color w:val="C0392B"/>
          <w:sz w:val="24"/>
        </w:rPr>
        <w:t>原文摘录：</w:t>
      </w:r>
    </w:p>
    <w:p>
      <w:pPr>
        <w:spacing w:before="0" w:after="40" w:line="360" w:lineRule="auto"/>
        <w:ind w:left="480"/>
      </w:pPr>
      <w:r>
        <w:rPr>
          <w:rFonts w:ascii="Times New Roman" w:hAnsi="Times New Roman" w:eastAsia="宋体"/>
          <w:b w:val="0"/>
          <w:sz w:val="24"/>
        </w:rPr>
        <w:t>“在乙方完成《开发实施需求说明书》所列示的工作后，并在甲方付清项目全部费用的前提下，乙方向甲方提交的技术开发成果的知识产权归甲乙双方共同所有。”</w:t>
      </w:r>
    </w:p>
    <w:p>
      <w:pPr>
        <w:spacing w:before="40" w:after="40" w:line="360" w:lineRule="auto"/>
      </w:pPr>
      <w:r>
        <w:rPr>
          <w:rFonts w:ascii="Times New Roman" w:hAnsi="Times New Roman" w:eastAsia="宋体"/>
          <w:b/>
          <w:color w:val="C0392B"/>
          <w:sz w:val="24"/>
        </w:rPr>
        <w:t>风险分析：</w:t>
      </w:r>
    </w:p>
    <w:p>
      <w:pPr>
        <w:spacing w:before="0" w:after="40" w:line="360" w:lineRule="auto"/>
        <w:ind w:left="480"/>
      </w:pPr>
      <w:r>
        <w:rPr>
          <w:rFonts w:ascii="Times New Roman" w:hAnsi="Times New Roman" w:eastAsia="宋体"/>
          <w:b w:val="0"/>
          <w:sz w:val="24"/>
        </w:rPr>
        <w:t>共有知识产权意味着任何一方均可单独许可第三方使用而无须经另一方同意（共有专利/软件著作权的行使规则），导致甲方的核心技术资产在共有结构下被稀释。附件 4.5 同时将「生产区域安全 AI 识别系统」权属明确为双方共有，进一步固化了这一不利安排。</w:t>
      </w:r>
    </w:p>
    <w:p>
      <w:pPr>
        <w:spacing w:before="40" w:after="40" w:line="360" w:lineRule="auto"/>
      </w:pPr>
      <w:r>
        <w:rPr>
          <w:rFonts w:ascii="Times New Roman" w:hAnsi="Times New Roman" w:eastAsia="宋体"/>
          <w:b/>
          <w:color w:val="C0392B"/>
          <w:sz w:val="24"/>
        </w:rPr>
        <w:t>修改建议：</w:t>
      </w:r>
    </w:p>
    <w:p>
      <w:pPr>
        <w:spacing w:before="0" w:after="40" w:line="360" w:lineRule="auto"/>
        <w:ind w:left="480"/>
      </w:pPr>
      <w:r>
        <w:rPr>
          <w:rFonts w:ascii="Times New Roman" w:hAnsi="Times New Roman" w:eastAsia="宋体"/>
          <w:b w:val="0"/>
          <w:sz w:val="24"/>
        </w:rPr>
        <w:t>建议修改为「甲方独占所有」，或退而求其次约定共有但严格限制乙方单独许可、对外授权、对外转让的权限。建议条款：「乙方向甲方提交的技术开发成果（包括但不限于源代码、文档、模型、训练数据及衍生作品）的知识产权归甲方单独所有。乙方在为本项目开发过程中形成的通用组件、工具等，乙方保留其原有权利，但不得包含甲方专有数据或业务逻辑；乙方不得就本项目交付物单独许可、转让或提供给任何第三方。」</w:t>
      </w:r>
    </w:p>
    <w:p>
      <w:pPr>
        <w:spacing w:before="40" w:after="40" w:line="360" w:lineRule="auto"/>
      </w:pPr>
      <w:r>
        <w:rPr>
          <w:rFonts w:ascii="Times New Roman" w:hAnsi="Times New Roman" w:eastAsia="宋体"/>
          <w:b/>
          <w:color w:val="C0392B"/>
          <w:sz w:val="24"/>
        </w:rPr>
        <w:t>法律依据：</w:t>
      </w:r>
    </w:p>
    <w:p>
      <w:pPr>
        <w:spacing w:before="0" w:after="40" w:line="360" w:lineRule="auto"/>
        <w:ind w:left="480"/>
      </w:pPr>
      <w:r>
        <w:rPr>
          <w:rFonts w:ascii="Times New Roman" w:hAnsi="Times New Roman" w:eastAsia="宋体"/>
          <w:b w:val="0"/>
          <w:sz w:val="24"/>
        </w:rPr>
        <w:t>《民法典》第 339 条（委托开发合同约定不明时由受托人享有）、第 847 条（职务技术成果的归属）、第 859 条（合作开发成果的处分）</w:t>
      </w:r>
    </w:p>
    <w:p>
      <w:pPr>
        <w:spacing w:before="120" w:after="80" w:line="360" w:lineRule="auto"/>
      </w:pPr>
      <w:r>
        <w:rPr>
          <w:rFonts w:ascii="Times New Roman" w:hAnsi="Times New Roman" w:eastAsia="宋体"/>
          <w:b/>
          <w:color w:val="C0392B"/>
          <w:sz w:val="24"/>
        </w:rPr>
        <w:t>【高风险】第五条第 3 款 — 第三方侵权抗辩中甲方和解权被不当剥夺</w:t>
      </w:r>
    </w:p>
    <w:p>
      <w:pPr>
        <w:spacing w:before="40" w:after="40" w:line="360" w:lineRule="auto"/>
      </w:pPr>
      <w:r>
        <w:rPr>
          <w:rFonts w:ascii="Times New Roman" w:hAnsi="Times New Roman" w:eastAsia="宋体"/>
          <w:b/>
          <w:color w:val="C0392B"/>
          <w:sz w:val="24"/>
        </w:rPr>
        <w:t>问题描述：</w:t>
      </w:r>
      <w:r>
        <w:rPr>
          <w:rFonts w:ascii="Times New Roman" w:hAnsi="Times New Roman" w:eastAsia="宋体"/>
          <w:b w:val="0"/>
          <w:sz w:val="24"/>
        </w:rPr>
        <w:t>约定乙方为甲方抗辩第三人侵权索赔的同时，限制甲方「未经乙方书面同意不得与第三方和解或调解、支出赔偿金额」，并将「未能及时通知」或「未经乙方书面同意和解」产生的费用全部转嫁给甲方。对甲方诉讼自主权与商业利益保护明显不足。</w:t>
      </w:r>
    </w:p>
    <w:p>
      <w:pPr>
        <w:spacing w:before="40" w:after="40" w:line="360" w:lineRule="auto"/>
      </w:pPr>
      <w:r>
        <w:rPr>
          <w:rFonts w:ascii="Times New Roman" w:hAnsi="Times New Roman" w:eastAsia="宋体"/>
          <w:b/>
          <w:color w:val="C0392B"/>
          <w:sz w:val="24"/>
        </w:rPr>
        <w:t>原文摘录：</w:t>
      </w:r>
    </w:p>
    <w:p>
      <w:pPr>
        <w:spacing w:before="0" w:after="40" w:line="360" w:lineRule="auto"/>
        <w:ind w:left="480"/>
      </w:pPr>
      <w:r>
        <w:rPr>
          <w:rFonts w:ascii="Times New Roman" w:hAnsi="Times New Roman" w:eastAsia="宋体"/>
          <w:b w:val="0"/>
          <w:sz w:val="24"/>
        </w:rPr>
        <w:t>“若甲方因为乙方的产品发生诉讼或争议时，甲方应及时通知乙方，且未经乙方书面同意，甲方不得与第三方进行和解或调解、支出赔偿金额等。若甲方未能及时通知乙方或者甲方未经乙方书面同意和第三方进行和解或调解、支出赔偿金额等产生的费用，均由甲方承担，与乙方无关。”</w:t>
      </w:r>
    </w:p>
    <w:p>
      <w:pPr>
        <w:spacing w:before="40" w:after="40" w:line="360" w:lineRule="auto"/>
      </w:pPr>
      <w:r>
        <w:rPr>
          <w:rFonts w:ascii="Times New Roman" w:hAnsi="Times New Roman" w:eastAsia="宋体"/>
          <w:b/>
          <w:color w:val="C0392B"/>
          <w:sz w:val="24"/>
        </w:rPr>
        <w:t>风险分析：</w:t>
      </w:r>
    </w:p>
    <w:p>
      <w:pPr>
        <w:spacing w:before="0" w:after="40" w:line="360" w:lineRule="auto"/>
        <w:ind w:left="480"/>
      </w:pPr>
      <w:r>
        <w:rPr>
          <w:rFonts w:ascii="Times New Roman" w:hAnsi="Times New Roman" w:eastAsia="宋体"/>
          <w:b w:val="0"/>
          <w:sz w:val="24"/>
        </w:rPr>
        <w:t>一旦发生第三人侵权诉讼，和解窗口、赔偿金额、应诉策略属于甲方核心商业利益。乙方借「知识产权抗辩」之名实质上掌握了诉讼节奏，违背「谁抗辩、谁主导」原则。同时将「及时通知」义务与「赔偿费用承担」绑定，对甲方风险敞口过大。</w:t>
      </w:r>
    </w:p>
    <w:p>
      <w:pPr>
        <w:spacing w:before="40" w:after="40" w:line="360" w:lineRule="auto"/>
      </w:pPr>
      <w:r>
        <w:rPr>
          <w:rFonts w:ascii="Times New Roman" w:hAnsi="Times New Roman" w:eastAsia="宋体"/>
          <w:b/>
          <w:color w:val="C0392B"/>
          <w:sz w:val="24"/>
        </w:rPr>
        <w:t>修改建议：</w:t>
      </w:r>
    </w:p>
    <w:p>
      <w:pPr>
        <w:spacing w:before="0" w:after="40" w:line="360" w:lineRule="auto"/>
        <w:ind w:left="480"/>
      </w:pPr>
      <w:r>
        <w:rPr>
          <w:rFonts w:ascii="Times New Roman" w:hAnsi="Times New Roman" w:eastAsia="宋体"/>
          <w:b w:val="0"/>
          <w:sz w:val="24"/>
        </w:rPr>
        <w:t>建议区分「主抗辩权」与「和解同意权」，将和解主动权交还甲方。建议条款：「对因乙方的产品或服务侵犯第三方知识产权而引起的针对甲方的任何索赔，由乙方承担全部抗辩责任及由此产生的合理费用（包括律师费、诉讼费、赔偿金）；甲方有权在通知乙方后自行决定和解方案，由此产生的费用由乙方承担。乙方应于接到甲方书面通知后 15 个工作日内启动抗辩，否则甲方有权自行抗辩，相关费用由乙方承担。」</w:t>
      </w:r>
    </w:p>
    <w:p>
      <w:pPr>
        <w:spacing w:before="40" w:after="40" w:line="360" w:lineRule="auto"/>
      </w:pPr>
      <w:r>
        <w:rPr>
          <w:rFonts w:ascii="Times New Roman" w:hAnsi="Times New Roman" w:eastAsia="宋体"/>
          <w:b/>
          <w:color w:val="C0392B"/>
          <w:sz w:val="24"/>
        </w:rPr>
        <w:t>法律依据：</w:t>
      </w:r>
    </w:p>
    <w:p>
      <w:pPr>
        <w:spacing w:before="0" w:after="40" w:line="360" w:lineRule="auto"/>
        <w:ind w:left="480"/>
      </w:pPr>
      <w:r>
        <w:rPr>
          <w:rFonts w:ascii="Times New Roman" w:hAnsi="Times New Roman" w:eastAsia="宋体"/>
          <w:b w:val="0"/>
          <w:sz w:val="24"/>
        </w:rPr>
        <w:t>《民法典》第 1167 条（知识产权请求权）、第 1185 条（恶意侵权惩罚性赔偿）</w:t>
      </w:r>
    </w:p>
    <w:p>
      <w:pPr>
        <w:spacing w:before="120" w:after="80" w:line="360" w:lineRule="auto"/>
      </w:pPr>
      <w:r>
        <w:rPr>
          <w:rFonts w:ascii="Times New Roman" w:hAnsi="Times New Roman" w:eastAsia="宋体"/>
          <w:b/>
          <w:color w:val="C0392B"/>
          <w:sz w:val="24"/>
        </w:rPr>
        <w:t>【高风险】第二条 — 预付款比例 70% 过高且无任何履约担保</w:t>
      </w:r>
    </w:p>
    <w:p>
      <w:pPr>
        <w:spacing w:before="40" w:after="40" w:line="360" w:lineRule="auto"/>
      </w:pPr>
      <w:r>
        <w:rPr>
          <w:rFonts w:ascii="Times New Roman" w:hAnsi="Times New Roman" w:eastAsia="宋体"/>
          <w:b/>
          <w:color w:val="C0392B"/>
          <w:sz w:val="24"/>
        </w:rPr>
        <w:t>问题描述：</w:t>
      </w:r>
      <w:r>
        <w:rPr>
          <w:rFonts w:ascii="Times New Roman" w:hAnsi="Times New Roman" w:eastAsia="宋体"/>
          <w:b w:val="0"/>
          <w:sz w:val="24"/>
        </w:rPr>
        <w:t>合同签订后 7 个工作日内甲方即预付 70%（63,658 元），剩余 20% 上线后付、10% 交付后付。同时合同未约定任何履约担保（银行保函、履约保证金、第三方监管等）。一旦乙方违约甚至「跑路」，甲方追讨成本高、回款风险大。</w:t>
      </w:r>
    </w:p>
    <w:p>
      <w:pPr>
        <w:spacing w:before="40" w:after="40" w:line="360" w:lineRule="auto"/>
      </w:pPr>
      <w:r>
        <w:rPr>
          <w:rFonts w:ascii="Times New Roman" w:hAnsi="Times New Roman" w:eastAsia="宋体"/>
          <w:b/>
          <w:color w:val="C0392B"/>
          <w:sz w:val="24"/>
        </w:rPr>
        <w:t>原文摘录：</w:t>
      </w:r>
    </w:p>
    <w:p>
      <w:pPr>
        <w:spacing w:before="0" w:after="40" w:line="360" w:lineRule="auto"/>
        <w:ind w:left="480"/>
      </w:pPr>
      <w:r>
        <w:rPr>
          <w:rFonts w:ascii="Times New Roman" w:hAnsi="Times New Roman" w:eastAsia="宋体"/>
          <w:b w:val="0"/>
          <w:sz w:val="24"/>
        </w:rPr>
        <w:t>“合同签订之后七个工作日内预付 70% 63658；系统上线并提供发票后七个工作日内 20% 16978；系统交付并提供发票后七个工作日内 10% 9635。”</w:t>
      </w:r>
    </w:p>
    <w:p>
      <w:pPr>
        <w:spacing w:before="40" w:after="40" w:line="360" w:lineRule="auto"/>
      </w:pPr>
      <w:r>
        <w:rPr>
          <w:rFonts w:ascii="Times New Roman" w:hAnsi="Times New Roman" w:eastAsia="宋体"/>
          <w:b/>
          <w:color w:val="C0392B"/>
          <w:sz w:val="24"/>
        </w:rPr>
        <w:t>风险分析：</w:t>
      </w:r>
    </w:p>
    <w:p>
      <w:pPr>
        <w:spacing w:before="0" w:after="40" w:line="360" w:lineRule="auto"/>
        <w:ind w:left="480"/>
      </w:pPr>
      <w:r>
        <w:rPr>
          <w:rFonts w:ascii="Times New Roman" w:hAnsi="Times New Roman" w:eastAsia="宋体"/>
          <w:b w:val="0"/>
          <w:sz w:val="24"/>
        </w:rPr>
        <w:t>70% 的预付款已超过行业惯例（通常 30%-50%），且与项目「41 个工作日」实施周期相比，款项几乎前置支付完毕。在没有履约担保的情况下，甲方失去对乙方履约节奏的有效约束。AI 类软件项目尤为突出（前期依赖乙方投入，后期维护与模型迭代仍长期绑定）。</w:t>
      </w:r>
    </w:p>
    <w:p>
      <w:pPr>
        <w:spacing w:before="40" w:after="40" w:line="360" w:lineRule="auto"/>
      </w:pPr>
      <w:r>
        <w:rPr>
          <w:rFonts w:ascii="Times New Roman" w:hAnsi="Times New Roman" w:eastAsia="宋体"/>
          <w:b/>
          <w:color w:val="C0392B"/>
          <w:sz w:val="24"/>
        </w:rPr>
        <w:t>修改建议：</w:t>
      </w:r>
    </w:p>
    <w:p>
      <w:pPr>
        <w:spacing w:before="0" w:after="40" w:line="360" w:lineRule="auto"/>
        <w:ind w:left="480"/>
      </w:pPr>
      <w:r>
        <w:rPr>
          <w:rFonts w:ascii="Times New Roman" w:hAnsi="Times New Roman" w:eastAsia="宋体"/>
          <w:b w:val="0"/>
          <w:sz w:val="24"/>
        </w:rPr>
        <w:t>建议调整付款节奏为 30% / 40% / 30%（签约 / 上线 / 终验），并要求乙方提供等额银行履约保函或质押 10% 合同款作为质保金（验收后 12 个月无质量问题退还）。建议条款：「首期款：合同签订后 7 个工作日内，甲方向乙方支付合同总额 30% 作为预付款；乙方应于收到预付款后 3 个工作日内向甲方提供合同总额 10% 的银行履约保函（有效期至终验合格后 12 个月）。……质保金：合同总额 10% 作为质保金，自终验合格之日起 12 个月质保期满且无质量问题后 15 个工作日内无息退还。」</w:t>
      </w:r>
    </w:p>
    <w:p>
      <w:pPr>
        <w:spacing w:before="40" w:after="40" w:line="360" w:lineRule="auto"/>
      </w:pPr>
      <w:r>
        <w:rPr>
          <w:rFonts w:ascii="Times New Roman" w:hAnsi="Times New Roman" w:eastAsia="宋体"/>
          <w:b/>
          <w:color w:val="C0392B"/>
          <w:sz w:val="24"/>
        </w:rPr>
        <w:t>法律依据：</w:t>
      </w:r>
    </w:p>
    <w:p>
      <w:pPr>
        <w:spacing w:before="0" w:after="40" w:line="360" w:lineRule="auto"/>
        <w:ind w:left="480"/>
      </w:pPr>
      <w:r>
        <w:rPr>
          <w:rFonts w:ascii="Times New Roman" w:hAnsi="Times New Roman" w:eastAsia="宋体"/>
          <w:b w:val="0"/>
          <w:sz w:val="24"/>
        </w:rPr>
        <w:t>《民法典》第 585 条（违约金）、第 681 条（保证合同）、第 691 条（保证范围）</w:t>
      </w:r>
    </w:p>
    <w:p>
      <w:pPr>
        <w:spacing w:before="120" w:after="80" w:line="360" w:lineRule="auto"/>
      </w:pPr>
      <w:r>
        <w:rPr>
          <w:rFonts w:ascii="Times New Roman" w:hAnsi="Times New Roman" w:eastAsia="宋体"/>
          <w:b/>
          <w:color w:val="C0392B"/>
          <w:sz w:val="24"/>
        </w:rPr>
        <w:t>【高风险】第四条第 6 款及第 9 款 — 维护到期条款对甲方不友好</w:t>
      </w:r>
    </w:p>
    <w:p>
      <w:pPr>
        <w:spacing w:before="40" w:after="40" w:line="360" w:lineRule="auto"/>
      </w:pPr>
      <w:r>
        <w:rPr>
          <w:rFonts w:ascii="Times New Roman" w:hAnsi="Times New Roman" w:eastAsia="宋体"/>
          <w:b/>
          <w:color w:val="C0392B"/>
          <w:sz w:val="24"/>
        </w:rPr>
        <w:t>问题描述：</w:t>
      </w:r>
      <w:r>
        <w:rPr>
          <w:rFonts w:ascii="Times New Roman" w:hAnsi="Times New Roman" w:eastAsia="宋体"/>
          <w:b w:val="0"/>
          <w:sz w:val="24"/>
        </w:rPr>
        <w:t>约定「系统上线后乙方提供本软件为限壹年的免费维护服务」，并要求乙方「维护到期前 30 个工作日内书面通知甲方续费」；同时约定「若在规定期间内乙方未通知甲方，乙方不得暂停维护工作」。换言之，若乙方未及时通知，乙方反而承担继续维护义务——表面利好甲方，实质上却意味着甲方没有自主的「服务等级」主张权，且未约定维护响应的具体时效与违约责任。</w:t>
      </w:r>
    </w:p>
    <w:p>
      <w:pPr>
        <w:spacing w:before="40" w:after="40" w:line="360" w:lineRule="auto"/>
      </w:pPr>
      <w:r>
        <w:rPr>
          <w:rFonts w:ascii="Times New Roman" w:hAnsi="Times New Roman" w:eastAsia="宋体"/>
          <w:b/>
          <w:color w:val="C0392B"/>
          <w:sz w:val="24"/>
        </w:rPr>
        <w:t>原文摘录：</w:t>
      </w:r>
    </w:p>
    <w:p>
      <w:pPr>
        <w:spacing w:before="0" w:after="40" w:line="360" w:lineRule="auto"/>
        <w:ind w:left="480"/>
      </w:pPr>
      <w:r>
        <w:rPr>
          <w:rFonts w:ascii="Times New Roman" w:hAnsi="Times New Roman" w:eastAsia="宋体"/>
          <w:b w:val="0"/>
          <w:sz w:val="24"/>
        </w:rPr>
        <w:t>“系统上线后乙方提供本软件为限壹年的免费维护服务。……乙方应在维护到期前 30 个工作日之内，以书面形式（包含但不限于邮件、微信、QQ、短信等文字形式）向甲方项目负责人通知维护续费事务处理。甲方在接到通知后，需在维护期前 7 个工作内回复是否续费，若在规定期间内，乙方未通知甲方，乙方不得暂停维护工作。若甲方未回复乙方，维护到期自动结束维护服务。”</w:t>
      </w:r>
    </w:p>
    <w:p>
      <w:pPr>
        <w:spacing w:before="40" w:after="40" w:line="360" w:lineRule="auto"/>
      </w:pPr>
      <w:r>
        <w:rPr>
          <w:rFonts w:ascii="Times New Roman" w:hAnsi="Times New Roman" w:eastAsia="宋体"/>
          <w:b/>
          <w:color w:val="C0392B"/>
          <w:sz w:val="24"/>
        </w:rPr>
        <w:t>风险分析：</w:t>
      </w:r>
    </w:p>
    <w:p>
      <w:pPr>
        <w:spacing w:before="0" w:after="40" w:line="360" w:lineRule="auto"/>
        <w:ind w:left="480"/>
      </w:pPr>
      <w:r>
        <w:rPr>
          <w:rFonts w:ascii="Times New Roman" w:hAnsi="Times New Roman" w:eastAsia="宋体"/>
          <w:b w:val="0"/>
          <w:sz w:val="24"/>
        </w:rPr>
        <w:t>1）维护期满后无任何过渡安排：若乙方拒绝续签或要价畸高，甲方将面临无维护的断档；2）未约定维护期内的响应时效、故障恢复时间、严重故障的违约金；3）「维护到期自动结束」意味着乙方可单方退出维护，无需对甲方历史业务连续性承担任何过渡协助义务。</w:t>
      </w:r>
    </w:p>
    <w:p>
      <w:pPr>
        <w:spacing w:before="40" w:after="40" w:line="360" w:lineRule="auto"/>
      </w:pPr>
      <w:r>
        <w:rPr>
          <w:rFonts w:ascii="Times New Roman" w:hAnsi="Times New Roman" w:eastAsia="宋体"/>
          <w:b/>
          <w:color w:val="C0392B"/>
          <w:sz w:val="24"/>
        </w:rPr>
        <w:t>修改建议：</w:t>
      </w:r>
    </w:p>
    <w:p>
      <w:pPr>
        <w:spacing w:before="0" w:after="40" w:line="360" w:lineRule="auto"/>
        <w:ind w:left="480"/>
      </w:pPr>
      <w:r>
        <w:rPr>
          <w:rFonts w:ascii="Times New Roman" w:hAnsi="Times New Roman" w:eastAsia="宋体"/>
          <w:b w:val="0"/>
          <w:sz w:val="24"/>
        </w:rPr>
        <w:t>建议补充维护期内的 SLA 条款、续约保障条款与过渡期协助义务。建议条款：「免费维护期内，乙方应提供 7×12 小时响应服务，重大故障（系统不可用）4 小时内响应、一般故障 24 小时内响应、紧急安全漏洞 72 小时内提供修复。维护期满前 30 个工作日乙方须书面通知甲方续费事项；维护期满后 6 个月内，乙方应继续提供不少于 30 个工作日的过渡协助（包括但不限于源代码、运维文档、运维培训），费用由双方协商。」</w:t>
      </w:r>
    </w:p>
    <w:p>
      <w:pPr>
        <w:spacing w:before="40" w:after="40" w:line="360" w:lineRule="auto"/>
      </w:pPr>
      <w:r>
        <w:rPr>
          <w:rFonts w:ascii="Times New Roman" w:hAnsi="Times New Roman" w:eastAsia="宋体"/>
          <w:b/>
          <w:color w:val="C0392B"/>
          <w:sz w:val="24"/>
        </w:rPr>
        <w:t>法律依据：</w:t>
      </w:r>
    </w:p>
    <w:p>
      <w:pPr>
        <w:spacing w:before="0" w:after="40" w:line="360" w:lineRule="auto"/>
        <w:ind w:left="480"/>
      </w:pPr>
      <w:r>
        <w:rPr>
          <w:rFonts w:ascii="Times New Roman" w:hAnsi="Times New Roman" w:eastAsia="宋体"/>
          <w:b w:val="0"/>
          <w:sz w:val="24"/>
        </w:rPr>
        <w:t>《民法典》第 511 条（质量要求、价款、报酬、履行地点等约定不明时的履行规则）、第 582 条（履行不符合约定的违约责任）</w:t>
      </w:r>
    </w:p>
    <w:p>
      <w:pPr>
        <w:spacing w:before="120" w:after="80" w:line="360" w:lineRule="auto"/>
      </w:pPr>
      <w:r>
        <w:rPr>
          <w:rFonts w:ascii="Times New Roman" w:hAnsi="Times New Roman" w:eastAsia="宋体"/>
          <w:b/>
          <w:color w:val="C0392B"/>
          <w:sz w:val="24"/>
        </w:rPr>
        <w:t>【高风险】第九条第 3 款 — 排他性条款单方约束甲方、范围过宽、期限过长</w:t>
      </w:r>
    </w:p>
    <w:p>
      <w:pPr>
        <w:spacing w:before="40" w:after="40" w:line="360" w:lineRule="auto"/>
      </w:pPr>
      <w:r>
        <w:rPr>
          <w:rFonts w:ascii="Times New Roman" w:hAnsi="Times New Roman" w:eastAsia="宋体"/>
          <w:b/>
          <w:color w:val="C0392B"/>
          <w:sz w:val="24"/>
        </w:rPr>
        <w:t>问题描述：</w:t>
      </w:r>
      <w:r>
        <w:rPr>
          <w:rFonts w:ascii="Times New Roman" w:hAnsi="Times New Roman" w:eastAsia="宋体"/>
          <w:b w:val="0"/>
          <w:sz w:val="24"/>
        </w:rPr>
        <w:t>约定「本合同生效后的三年内，甲方承诺不雇佣乙方的工作人员（包括但不限于项目经理、软件开发师、销售人员等）作为甲方的工作人员或为甲方提供任何服务」。该条款仅约束甲方未约束乙方，期限 3 年，范围覆盖「任何服务」。</w:t>
      </w:r>
    </w:p>
    <w:p>
      <w:pPr>
        <w:spacing w:before="40" w:after="40" w:line="360" w:lineRule="auto"/>
      </w:pPr>
      <w:r>
        <w:rPr>
          <w:rFonts w:ascii="Times New Roman" w:hAnsi="Times New Roman" w:eastAsia="宋体"/>
          <w:b/>
          <w:color w:val="C0392B"/>
          <w:sz w:val="24"/>
        </w:rPr>
        <w:t>原文摘录：</w:t>
      </w:r>
    </w:p>
    <w:p>
      <w:pPr>
        <w:spacing w:before="0" w:after="40" w:line="360" w:lineRule="auto"/>
        <w:ind w:left="480"/>
      </w:pPr>
      <w:r>
        <w:rPr>
          <w:rFonts w:ascii="Times New Roman" w:hAnsi="Times New Roman" w:eastAsia="宋体"/>
          <w:b w:val="0"/>
          <w:sz w:val="24"/>
        </w:rPr>
        <w:t>“在本合同生效后的三年内，甲方承诺不雇佣乙方的工作人员（包括但不限于项目经理、软件开发师、销售人员等）作为甲方的工作人员或为甲方提供任何服务。”</w:t>
      </w:r>
    </w:p>
    <w:p>
      <w:pPr>
        <w:spacing w:before="40" w:after="40" w:line="360" w:lineRule="auto"/>
      </w:pPr>
      <w:r>
        <w:rPr>
          <w:rFonts w:ascii="Times New Roman" w:hAnsi="Times New Roman" w:eastAsia="宋体"/>
          <w:b/>
          <w:color w:val="C0392B"/>
          <w:sz w:val="24"/>
        </w:rPr>
        <w:t>风险分析：</w:t>
      </w:r>
    </w:p>
    <w:p>
      <w:pPr>
        <w:spacing w:before="0" w:after="40" w:line="360" w:lineRule="auto"/>
        <w:ind w:left="480"/>
      </w:pPr>
      <w:r>
        <w:rPr>
          <w:rFonts w:ascii="Times New Roman" w:hAnsi="Times New Roman" w:eastAsia="宋体"/>
          <w:b w:val="0"/>
          <w:sz w:val="24"/>
        </w:rPr>
        <w:t>1）单方约束：仅约束甲方不雇佣乙方人员，未约束乙方不得挖甲方人员，明显不对等；2）范围过宽：包括「销售人员」在内的所有乙方人员，甚至包括离职后人员，限制了甲方自主招聘权；3）期限过长：3 年超过了合理商业保护期限（通常 1 年以内）；4）违约金未约定：仅约定义务未约定违反后果，约束力弱。</w:t>
      </w:r>
    </w:p>
    <w:p>
      <w:pPr>
        <w:spacing w:before="40" w:after="40" w:line="360" w:lineRule="auto"/>
      </w:pPr>
      <w:r>
        <w:rPr>
          <w:rFonts w:ascii="Times New Roman" w:hAnsi="Times New Roman" w:eastAsia="宋体"/>
          <w:b/>
          <w:color w:val="C0392B"/>
          <w:sz w:val="24"/>
        </w:rPr>
        <w:t>修改建议：</w:t>
      </w:r>
    </w:p>
    <w:p>
      <w:pPr>
        <w:spacing w:before="0" w:after="40" w:line="360" w:lineRule="auto"/>
        <w:ind w:left="480"/>
      </w:pPr>
      <w:r>
        <w:rPr>
          <w:rFonts w:ascii="Times New Roman" w:hAnsi="Times New Roman" w:eastAsia="宋体"/>
          <w:b w:val="0"/>
          <w:sz w:val="24"/>
        </w:rPr>
        <w:t>建议修改为对等条款，并将期限缩短为 1 年、范围限缩为「直接参与本项目且掌握核心技术秘密的人员」。建议条款：「本合同生效后 1 年内，任何一方不得雇佣或委托对方直接参与本项目且掌握本项目核心技术秘密的核心技术人员（具体名单作为合同附件由双方盖章确认）。违反本条的一方应向对方支付违约金人民币 10 万元。」</w:t>
      </w:r>
    </w:p>
    <w:p>
      <w:pPr>
        <w:spacing w:before="40" w:after="40" w:line="360" w:lineRule="auto"/>
      </w:pPr>
      <w:r>
        <w:rPr>
          <w:rFonts w:ascii="Times New Roman" w:hAnsi="Times New Roman" w:eastAsia="宋体"/>
          <w:b/>
          <w:color w:val="C0392B"/>
          <w:sz w:val="24"/>
        </w:rPr>
        <w:t>法律依据：</w:t>
      </w:r>
    </w:p>
    <w:p>
      <w:pPr>
        <w:spacing w:before="0" w:after="40" w:line="360" w:lineRule="auto"/>
        <w:ind w:left="480"/>
      </w:pPr>
      <w:r>
        <w:rPr>
          <w:rFonts w:ascii="Times New Roman" w:hAnsi="Times New Roman" w:eastAsia="宋体"/>
          <w:b w:val="0"/>
          <w:sz w:val="24"/>
        </w:rPr>
        <w:t>《民法典》第 7 条（诚信原则）、第 1 条（合同自由与公平原则）</w:t>
      </w:r>
    </w:p>
    <w:p>
      <w:pPr>
        <w:spacing w:before="120" w:after="80" w:line="360" w:lineRule="auto"/>
      </w:pPr>
      <w:r>
        <w:rPr>
          <w:rFonts w:ascii="Times New Roman" w:hAnsi="Times New Roman" w:eastAsia="宋体"/>
          <w:b/>
          <w:color w:val="C0392B"/>
          <w:sz w:val="24"/>
        </w:rPr>
        <w:t>【高风险】第九条第 2 款 — 赔偿责任限制过窄，对甲方极为不利</w:t>
      </w:r>
    </w:p>
    <w:p>
      <w:pPr>
        <w:spacing w:before="40" w:after="40" w:line="360" w:lineRule="auto"/>
      </w:pPr>
      <w:r>
        <w:rPr>
          <w:rFonts w:ascii="Times New Roman" w:hAnsi="Times New Roman" w:eastAsia="宋体"/>
          <w:b/>
          <w:color w:val="C0392B"/>
          <w:sz w:val="24"/>
        </w:rPr>
        <w:t>问题描述：</w:t>
      </w:r>
      <w:r>
        <w:rPr>
          <w:rFonts w:ascii="Times New Roman" w:hAnsi="Times New Roman" w:eastAsia="宋体"/>
          <w:b w:val="0"/>
          <w:sz w:val="24"/>
        </w:rPr>
        <w:t>约定「所有违约，双方的赔偿责任均为有限责任，赔偿仅以可举证的直接损失为限，不包括流失的或预期的利益，以及任何其他连带性或间接性的损失」。对甲方而言，意味着即便乙方严重违约（如系统未交付、知识产权瑕疵、关键功能缺失），甲方也无法主张预期利益损失或间接损失。</w:t>
      </w:r>
    </w:p>
    <w:p>
      <w:pPr>
        <w:spacing w:before="40" w:after="40" w:line="360" w:lineRule="auto"/>
      </w:pPr>
      <w:r>
        <w:rPr>
          <w:rFonts w:ascii="Times New Roman" w:hAnsi="Times New Roman" w:eastAsia="宋体"/>
          <w:b/>
          <w:color w:val="C0392B"/>
          <w:sz w:val="24"/>
        </w:rPr>
        <w:t>原文摘录：</w:t>
      </w:r>
    </w:p>
    <w:p>
      <w:pPr>
        <w:spacing w:before="0" w:after="40" w:line="360" w:lineRule="auto"/>
        <w:ind w:left="480"/>
      </w:pPr>
      <w:r>
        <w:rPr>
          <w:rFonts w:ascii="Times New Roman" w:hAnsi="Times New Roman" w:eastAsia="宋体"/>
          <w:b w:val="0"/>
          <w:sz w:val="24"/>
        </w:rPr>
        <w:t>“本合同所涉及的所有违约，双方的赔偿责任均为有限责任，赔偿仅以可举证的直接损失为限，不包括流失的或预期的利益，以及任何其他连带性或间接性的损失。”</w:t>
      </w:r>
    </w:p>
    <w:p>
      <w:pPr>
        <w:spacing w:before="40" w:after="40" w:line="360" w:lineRule="auto"/>
      </w:pPr>
      <w:r>
        <w:rPr>
          <w:rFonts w:ascii="Times New Roman" w:hAnsi="Times New Roman" w:eastAsia="宋体"/>
          <w:b/>
          <w:color w:val="C0392B"/>
          <w:sz w:val="24"/>
        </w:rPr>
        <w:t>风险分析：</w:t>
      </w:r>
    </w:p>
    <w:p>
      <w:pPr>
        <w:spacing w:before="0" w:after="40" w:line="360" w:lineRule="auto"/>
        <w:ind w:left="480"/>
      </w:pPr>
      <w:r>
        <w:rPr>
          <w:rFonts w:ascii="Times New Roman" w:hAnsi="Times New Roman" w:eastAsia="宋体"/>
          <w:b w:val="0"/>
          <w:sz w:val="24"/>
        </w:rPr>
        <w:t>甲方作为 AI 安全识别系统的应用方，其使用价值在于提升现场安全管理水平、避免事故损失——这类价值难以「直接举证」。合同一旦约定排除间接损失，甲方将难以就业务中断、数据丢失、合规罚款等主张赔偿。同时「有限责任」在乙方主体可能规模较小的情形下，赔偿能力本身存疑。</w:t>
      </w:r>
    </w:p>
    <w:p>
      <w:pPr>
        <w:spacing w:before="40" w:after="40" w:line="360" w:lineRule="auto"/>
      </w:pPr>
      <w:r>
        <w:rPr>
          <w:rFonts w:ascii="Times New Roman" w:hAnsi="Times New Roman" w:eastAsia="宋体"/>
          <w:b/>
          <w:color w:val="C0392B"/>
          <w:sz w:val="24"/>
        </w:rPr>
        <w:t>修改建议：</w:t>
      </w:r>
    </w:p>
    <w:p>
      <w:pPr>
        <w:spacing w:before="0" w:after="40" w:line="360" w:lineRule="auto"/>
        <w:ind w:left="480"/>
      </w:pPr>
      <w:r>
        <w:rPr>
          <w:rFonts w:ascii="Times New Roman" w:hAnsi="Times New Roman" w:eastAsia="宋体"/>
          <w:b w:val="0"/>
          <w:sz w:val="24"/>
        </w:rPr>
        <w:t>建议区分一般违约与根本性违约，对根本性违约（如未交付、知识产权侵权、严重安全漏洞）保留预期利益赔偿权利；同时设定最低违约金下限。建议条款：「除根本性违约（包括但不限于乙方未按约定交付、侵犯第三方知识产权造成甲方损失、严重安全漏洞导致生产事故）外，任一方违约承担的赔偿责任以可举证的直接损失为限。根本性违约情形下，守约方有权主张实际损失及合理预期利益损失，但任何一方在任何情形下的累计赔偿责任不超过合同总金额的 200%。」</w:t>
      </w:r>
    </w:p>
    <w:p>
      <w:pPr>
        <w:spacing w:before="40" w:after="40" w:line="360" w:lineRule="auto"/>
      </w:pPr>
      <w:r>
        <w:rPr>
          <w:rFonts w:ascii="Times New Roman" w:hAnsi="Times New Roman" w:eastAsia="宋体"/>
          <w:b/>
          <w:color w:val="C0392B"/>
          <w:sz w:val="24"/>
        </w:rPr>
        <w:t>法律依据：</w:t>
      </w:r>
    </w:p>
    <w:p>
      <w:pPr>
        <w:spacing w:before="0" w:after="40" w:line="360" w:lineRule="auto"/>
        <w:ind w:left="480"/>
      </w:pPr>
      <w:r>
        <w:rPr>
          <w:rFonts w:ascii="Times New Roman" w:hAnsi="Times New Roman" w:eastAsia="宋体"/>
          <w:b w:val="0"/>
          <w:sz w:val="24"/>
        </w:rPr>
        <w:t>《民法典》第 584 条（损失赔偿范围）、第 585 条（违约金）、第 1166 条（无过错责任情形除外）</w:t>
      </w:r>
    </w:p>
    <w:p>
      <w:pPr>
        <w:spacing w:before="120" w:after="80" w:line="360" w:lineRule="auto"/>
      </w:pPr>
      <w:r>
        <w:rPr>
          <w:rFonts w:ascii="Times New Roman" w:hAnsi="Times New Roman" w:eastAsia="宋体"/>
          <w:b/>
          <w:color w:val="C0392B"/>
          <w:sz w:val="24"/>
        </w:rPr>
        <w:t>【高风险】第七条 — 甲方单方解除权门槛过高</w:t>
      </w:r>
    </w:p>
    <w:p>
      <w:pPr>
        <w:spacing w:before="40" w:after="40" w:line="360" w:lineRule="auto"/>
      </w:pPr>
      <w:r>
        <w:rPr>
          <w:rFonts w:ascii="Times New Roman" w:hAnsi="Times New Roman" w:eastAsia="宋体"/>
          <w:b/>
          <w:color w:val="C0392B"/>
          <w:sz w:val="24"/>
        </w:rPr>
        <w:t>问题描述：</w:t>
      </w:r>
      <w:r>
        <w:rPr>
          <w:rFonts w:ascii="Times New Roman" w:hAnsi="Times New Roman" w:eastAsia="宋体"/>
          <w:b w:val="0"/>
          <w:sz w:val="24"/>
        </w:rPr>
        <w:t>约定「甲乙任何一方不得无故单方面解除合同」；「守约方应给予其不少于 60 日的合理期限，以便违约方纠正其违约行为。若违约方在前述期限内仍未纠正其违约行为，则守约方可以书面通知违约方解除合同」。60 日纠正期偏长且未对「根本性违约」作例外安排，对甲方应急止损不利。</w:t>
      </w:r>
    </w:p>
    <w:p>
      <w:pPr>
        <w:spacing w:before="40" w:after="40" w:line="360" w:lineRule="auto"/>
      </w:pPr>
      <w:r>
        <w:rPr>
          <w:rFonts w:ascii="Times New Roman" w:hAnsi="Times New Roman" w:eastAsia="宋体"/>
          <w:b/>
          <w:color w:val="C0392B"/>
          <w:sz w:val="24"/>
        </w:rPr>
        <w:t>原文摘录：</w:t>
      </w:r>
    </w:p>
    <w:p>
      <w:pPr>
        <w:spacing w:before="0" w:after="40" w:line="360" w:lineRule="auto"/>
        <w:ind w:left="480"/>
      </w:pPr>
      <w:r>
        <w:rPr>
          <w:rFonts w:ascii="Times New Roman" w:hAnsi="Times New Roman" w:eastAsia="宋体"/>
          <w:b w:val="0"/>
          <w:sz w:val="24"/>
        </w:rPr>
        <w:t>“甲乙任何一方不得无故单方面解除合同。合同其中一方根本性的或严重地违反本合同约定的主要义务，守约方应给予其不少于 60 日的合理期限，以便违约方纠正其违约行为。若违约方在前述期限内仍未纠正其违约行为，则守约方可以书面通知违约方解除合同，合同在书面通知到达违约方之日解除。”</w:t>
      </w:r>
    </w:p>
    <w:p>
      <w:pPr>
        <w:spacing w:before="40" w:after="40" w:line="360" w:lineRule="auto"/>
      </w:pPr>
      <w:r>
        <w:rPr>
          <w:rFonts w:ascii="Times New Roman" w:hAnsi="Times New Roman" w:eastAsia="宋体"/>
          <w:b/>
          <w:color w:val="C0392B"/>
          <w:sz w:val="24"/>
        </w:rPr>
        <w:t>风险分析：</w:t>
      </w:r>
    </w:p>
    <w:p>
      <w:pPr>
        <w:spacing w:before="0" w:after="40" w:line="360" w:lineRule="auto"/>
        <w:ind w:left="480"/>
      </w:pPr>
      <w:r>
        <w:rPr>
          <w:rFonts w:ascii="Times New Roman" w:hAnsi="Times New Roman" w:eastAsia="宋体"/>
          <w:b w:val="0"/>
          <w:sz w:val="24"/>
        </w:rPr>
        <w:t>60 日纠正期在工业现场实施场景下过长——一旦发现乙方能力严重不足、系统存在重大安全漏洞，60 日等待期可能导致事故窗口扩大。同时未约定「根本性违约」的快速解除机制。</w:t>
      </w:r>
    </w:p>
    <w:p>
      <w:pPr>
        <w:spacing w:before="40" w:after="40" w:line="360" w:lineRule="auto"/>
      </w:pPr>
      <w:r>
        <w:rPr>
          <w:rFonts w:ascii="Times New Roman" w:hAnsi="Times New Roman" w:eastAsia="宋体"/>
          <w:b/>
          <w:color w:val="C0392B"/>
          <w:sz w:val="24"/>
        </w:rPr>
        <w:t>修改建议：</w:t>
      </w:r>
    </w:p>
    <w:p>
      <w:pPr>
        <w:spacing w:before="0" w:after="40" w:line="360" w:lineRule="auto"/>
        <w:ind w:left="480"/>
      </w:pPr>
      <w:r>
        <w:rPr>
          <w:rFonts w:ascii="Times New Roman" w:hAnsi="Times New Roman" w:eastAsia="宋体"/>
          <w:b w:val="0"/>
          <w:sz w:val="24"/>
        </w:rPr>
        <w:t>建议区分一般违约与根本性违约，对根本性违约设置 14 日纠正期或直接解除权。建议条款：「一方发生根本性违约（包括但不限于：未按约定交付核心功能、系统存在严重安全漏洞且未在 7 日内修复、侵犯第三方知识产权、转让债务、丧失履约能力），守约方有权立即以书面通知解除本合同。一般违约情形下，守约方应给予违约方 30 日纠正期，逾期未纠正的可解除合同。」</w:t>
      </w:r>
    </w:p>
    <w:p>
      <w:pPr>
        <w:spacing w:before="40" w:after="40" w:line="360" w:lineRule="auto"/>
      </w:pPr>
      <w:r>
        <w:rPr>
          <w:rFonts w:ascii="Times New Roman" w:hAnsi="Times New Roman" w:eastAsia="宋体"/>
          <w:b/>
          <w:color w:val="C0392B"/>
          <w:sz w:val="24"/>
        </w:rPr>
        <w:t>法律依据：</w:t>
      </w:r>
    </w:p>
    <w:p>
      <w:pPr>
        <w:spacing w:before="0" w:after="40" w:line="360" w:lineRule="auto"/>
        <w:ind w:left="480"/>
      </w:pPr>
      <w:r>
        <w:rPr>
          <w:rFonts w:ascii="Times New Roman" w:hAnsi="Times New Roman" w:eastAsia="宋体"/>
          <w:b w:val="0"/>
          <w:sz w:val="24"/>
        </w:rPr>
        <w:t>《民法典》第 563 条（合同法定解除）、第 565 条（解除权行使期限）</w:t>
      </w:r>
    </w:p>
    <w:p>
      <w:r>
        <w:br w:type="page"/>
      </w:r>
    </w:p>
    <w:p>
      <w:pPr>
        <w:spacing w:before="200" w:after="120" w:line="360" w:lineRule="auto"/>
      </w:pPr>
      <w:r>
        <w:rPr>
          <w:rFonts w:ascii="黑体" w:hAnsi="黑体" w:eastAsia="黑体"/>
          <w:b/>
          <w:color w:val="2C3E50"/>
          <w:sz w:val="28"/>
        </w:rPr>
        <w:t>（二）中风险条款</w:t>
      </w:r>
    </w:p>
    <w:p>
      <w:pPr>
        <w:spacing w:before="120" w:after="80" w:line="360" w:lineRule="auto"/>
      </w:pPr>
      <w:r>
        <w:rPr>
          <w:rFonts w:ascii="Times New Roman" w:hAnsi="Times New Roman" w:eastAsia="宋体"/>
          <w:b/>
          <w:color w:val="E67E22"/>
          <w:sz w:val="24"/>
        </w:rPr>
        <w:t>【中风险】第三条 — 验收条款与变更条款「乙方免责窗口」过大</w:t>
      </w:r>
    </w:p>
    <w:p>
      <w:pPr>
        <w:spacing w:before="40" w:after="40" w:line="360" w:lineRule="auto"/>
      </w:pPr>
      <w:r>
        <w:rPr>
          <w:rFonts w:ascii="Times New Roman" w:hAnsi="Times New Roman" w:eastAsia="宋体"/>
          <w:b/>
          <w:color w:val="E67E22"/>
          <w:sz w:val="24"/>
        </w:rPr>
        <w:t>问题描述：</w:t>
      </w:r>
      <w:r>
        <w:rPr>
          <w:rFonts w:ascii="Times New Roman" w:hAnsi="Times New Roman" w:eastAsia="宋体"/>
          <w:b w:val="0"/>
          <w:sz w:val="24"/>
        </w:rPr>
        <w:t>约定「实施范围及开发实施需求的变更必须以甲乙双方共同签字或盖章的《开发实施需求变更单》为准，若因开发实施需求的变更导致的项目延迟交付，乙方不承担违约责任」。同时「系统正式上线运行 30 日后无异常」才启动整体验收，「如甲方在 15 个工作日内未组织整体验收，视为整体验收通过」。</w:t>
      </w:r>
    </w:p>
    <w:p>
      <w:pPr>
        <w:spacing w:before="40" w:after="40" w:line="360" w:lineRule="auto"/>
      </w:pPr>
      <w:r>
        <w:rPr>
          <w:rFonts w:ascii="Times New Roman" w:hAnsi="Times New Roman" w:eastAsia="宋体"/>
          <w:b/>
          <w:color w:val="E67E22"/>
          <w:sz w:val="24"/>
        </w:rPr>
        <w:t>原文摘录：</w:t>
      </w:r>
    </w:p>
    <w:p>
      <w:pPr>
        <w:spacing w:before="0" w:after="40" w:line="360" w:lineRule="auto"/>
        <w:ind w:left="480"/>
      </w:pPr>
      <w:r>
        <w:rPr>
          <w:rFonts w:ascii="Times New Roman" w:hAnsi="Times New Roman" w:eastAsia="宋体"/>
          <w:b w:val="0"/>
          <w:sz w:val="24"/>
        </w:rPr>
        <w:t>“实施范围及开发实施需求的变更必须以甲乙双方共同签字或盖章的《开发实施需求变更单》为准，若因开发实施需求的变更导致的项目延迟交付，乙方不承担违约责任。……系统正式上线运行 30 日后无异常，由甲方组织项目整体验收，如甲方在 15 个工作日内未组织整体验收，视为整体验收通过。”</w:t>
      </w:r>
    </w:p>
    <w:p>
      <w:pPr>
        <w:spacing w:before="40" w:after="40" w:line="360" w:lineRule="auto"/>
      </w:pPr>
      <w:r>
        <w:rPr>
          <w:rFonts w:ascii="Times New Roman" w:hAnsi="Times New Roman" w:eastAsia="宋体"/>
          <w:b/>
          <w:color w:val="E67E22"/>
          <w:sz w:val="24"/>
        </w:rPr>
        <w:t>风险分析：</w:t>
      </w:r>
    </w:p>
    <w:p>
      <w:pPr>
        <w:spacing w:before="0" w:after="40" w:line="360" w:lineRule="auto"/>
        <w:ind w:left="480"/>
      </w:pPr>
      <w:r>
        <w:rPr>
          <w:rFonts w:ascii="Times New Roman" w:hAnsi="Times New Roman" w:eastAsia="宋体"/>
          <w:b w:val="0"/>
          <w:sz w:val="24"/>
        </w:rPr>
        <w:t>1）需求变更单由「双方共同签字或盖章」程序繁重，可能被乙方滥用作为延期借口；2）「延迟交付即免责」在工业现场高风险项目中影响甲方生产计划；3）「未组织验收即视为通过」对乙方过于友好，30 日观察期 + 15 日宽限期实际给予乙方 45 日免责窗口。</w:t>
      </w:r>
    </w:p>
    <w:p>
      <w:pPr>
        <w:spacing w:before="40" w:after="40" w:line="360" w:lineRule="auto"/>
      </w:pPr>
      <w:r>
        <w:rPr>
          <w:rFonts w:ascii="Times New Roman" w:hAnsi="Times New Roman" w:eastAsia="宋体"/>
          <w:b/>
          <w:color w:val="E67E22"/>
          <w:sz w:val="24"/>
        </w:rPr>
        <w:t>修改建议：</w:t>
      </w:r>
    </w:p>
    <w:p>
      <w:pPr>
        <w:spacing w:before="0" w:after="40" w:line="360" w:lineRule="auto"/>
        <w:ind w:left="480"/>
      </w:pPr>
      <w:r>
        <w:rPr>
          <w:rFonts w:ascii="Times New Roman" w:hAnsi="Times New Roman" w:eastAsia="宋体"/>
          <w:b w:val="0"/>
          <w:sz w:val="24"/>
        </w:rPr>
        <w:t>建议明确「乙方原因导致的需求变更」与「甲方原因导致的需求变更」的区分；并将自动通过验收的情形限定为「系统已具备验收条件」。建议条款：「因乙方原因导致的实施范围或需求变更（如乙方设计缺陷、需求理解偏差），乙方应承担相应违约责任。因甲方合理原因导致的需求变更，乙方应在收到变更单后 5 个工作日内回复工期与费用影响，经双方书面确认后执行。在系统已具备验收条件的前提下，甲方未在 15 个工作日内组织验收的，视为整体验收通过。」</w:t>
      </w:r>
    </w:p>
    <w:p>
      <w:pPr>
        <w:spacing w:before="40" w:after="40" w:line="360" w:lineRule="auto"/>
      </w:pPr>
      <w:r>
        <w:rPr>
          <w:rFonts w:ascii="Times New Roman" w:hAnsi="Times New Roman" w:eastAsia="宋体"/>
          <w:b/>
          <w:color w:val="E67E22"/>
          <w:sz w:val="24"/>
        </w:rPr>
        <w:t>法律依据：</w:t>
      </w:r>
    </w:p>
    <w:p>
      <w:pPr>
        <w:spacing w:before="0" w:after="40" w:line="360" w:lineRule="auto"/>
        <w:ind w:left="480"/>
      </w:pPr>
      <w:r>
        <w:rPr>
          <w:rFonts w:ascii="Times New Roman" w:hAnsi="Times New Roman" w:eastAsia="宋体"/>
          <w:b w:val="0"/>
          <w:sz w:val="24"/>
        </w:rPr>
        <w:t>《民法典》第 510 条、第 511 条、第 530 条（债务人违约时债权人救济）</w:t>
      </w:r>
    </w:p>
    <w:p>
      <w:pPr>
        <w:spacing w:before="120" w:after="80" w:line="360" w:lineRule="auto"/>
      </w:pPr>
      <w:r>
        <w:rPr>
          <w:rFonts w:ascii="Times New Roman" w:hAnsi="Times New Roman" w:eastAsia="宋体"/>
          <w:b/>
          <w:color w:val="E67E22"/>
          <w:sz w:val="24"/>
        </w:rPr>
        <w:t>【中风险】第四条第 1 款第 3 项 — 发票违约未量化</w:t>
      </w:r>
    </w:p>
    <w:p>
      <w:pPr>
        <w:spacing w:before="40" w:after="40" w:line="360" w:lineRule="auto"/>
      </w:pPr>
      <w:r>
        <w:rPr>
          <w:rFonts w:ascii="Times New Roman" w:hAnsi="Times New Roman" w:eastAsia="宋体"/>
          <w:b/>
          <w:color w:val="E67E22"/>
          <w:sz w:val="24"/>
        </w:rPr>
        <w:t>问题描述：</w:t>
      </w:r>
      <w:r>
        <w:rPr>
          <w:rFonts w:ascii="Times New Roman" w:hAnsi="Times New Roman" w:eastAsia="宋体"/>
          <w:b w:val="0"/>
          <w:sz w:val="24"/>
        </w:rPr>
        <w:t>约定「乙方应主动及时提供相应的发票，如未及时提供，甲方有权不支付相应的款项」。但未约定「及时」的具体时限、未开发票的违约金，给乙方留下拖延发票的灰色空间。</w:t>
      </w:r>
    </w:p>
    <w:p>
      <w:pPr>
        <w:spacing w:before="40" w:after="40" w:line="360" w:lineRule="auto"/>
      </w:pPr>
      <w:r>
        <w:rPr>
          <w:rFonts w:ascii="Times New Roman" w:hAnsi="Times New Roman" w:eastAsia="宋体"/>
          <w:b/>
          <w:color w:val="E67E22"/>
          <w:sz w:val="24"/>
        </w:rPr>
        <w:t>原文摘录：</w:t>
      </w:r>
    </w:p>
    <w:p>
      <w:pPr>
        <w:spacing w:before="0" w:after="40" w:line="360" w:lineRule="auto"/>
        <w:ind w:left="480"/>
      </w:pPr>
      <w:r>
        <w:rPr>
          <w:rFonts w:ascii="Times New Roman" w:hAnsi="Times New Roman" w:eastAsia="宋体"/>
          <w:b w:val="0"/>
          <w:sz w:val="24"/>
        </w:rPr>
        <w:t>“乙方应主动及时提供相应的发票，如未及时提供，甲方有权不支付相应的款项，且乙方不得以此为由延期交付项目。”</w:t>
      </w:r>
    </w:p>
    <w:p>
      <w:pPr>
        <w:spacing w:before="40" w:after="40" w:line="360" w:lineRule="auto"/>
      </w:pPr>
      <w:r>
        <w:rPr>
          <w:rFonts w:ascii="Times New Roman" w:hAnsi="Times New Roman" w:eastAsia="宋体"/>
          <w:b/>
          <w:color w:val="E67E22"/>
          <w:sz w:val="24"/>
        </w:rPr>
        <w:t>风险分析：</w:t>
      </w:r>
    </w:p>
    <w:p>
      <w:pPr>
        <w:spacing w:before="0" w:after="40" w:line="360" w:lineRule="auto"/>
        <w:ind w:left="480"/>
      </w:pPr>
      <w:r>
        <w:rPr>
          <w:rFonts w:ascii="Times New Roman" w:hAnsi="Times New Roman" w:eastAsia="宋体"/>
          <w:b w:val="0"/>
          <w:sz w:val="24"/>
        </w:rPr>
        <w:t>仅赋予甲方「不付款」的权利，但未约定具体时限和违约后果。实务中乙方可能先交付系统再拖延发票，规避「不付款」约束。</w:t>
      </w:r>
    </w:p>
    <w:p>
      <w:pPr>
        <w:spacing w:before="40" w:after="40" w:line="360" w:lineRule="auto"/>
      </w:pPr>
      <w:r>
        <w:rPr>
          <w:rFonts w:ascii="Times New Roman" w:hAnsi="Times New Roman" w:eastAsia="宋体"/>
          <w:b/>
          <w:color w:val="E67E22"/>
          <w:sz w:val="24"/>
        </w:rPr>
        <w:t>修改建议：</w:t>
      </w:r>
    </w:p>
    <w:p>
      <w:pPr>
        <w:spacing w:before="0" w:after="40" w:line="360" w:lineRule="auto"/>
        <w:ind w:left="480"/>
      </w:pPr>
      <w:r>
        <w:rPr>
          <w:rFonts w:ascii="Times New Roman" w:hAnsi="Times New Roman" w:eastAsia="宋体"/>
          <w:b w:val="0"/>
          <w:sz w:val="24"/>
        </w:rPr>
        <w:t>建议明确开票时限与违约金。建议条款：「乙方应在每个付款节点前 5 个工作日内向甲方开具合法合规的增值税专用发票；乙方未在约定期限内提供发票的，每逾期一日应向甲方支付未开票金额万分之五的违约金，且甲方有权顺延付款期限。」</w:t>
      </w:r>
    </w:p>
    <w:p>
      <w:pPr>
        <w:spacing w:before="40" w:after="40" w:line="360" w:lineRule="auto"/>
      </w:pPr>
      <w:r>
        <w:rPr>
          <w:rFonts w:ascii="Times New Roman" w:hAnsi="Times New Roman" w:eastAsia="宋体"/>
          <w:b/>
          <w:color w:val="E67E22"/>
          <w:sz w:val="24"/>
        </w:rPr>
        <w:t>法律依据：</w:t>
      </w:r>
    </w:p>
    <w:p>
      <w:pPr>
        <w:spacing w:before="0" w:after="40" w:line="360" w:lineRule="auto"/>
        <w:ind w:left="480"/>
      </w:pPr>
      <w:r>
        <w:rPr>
          <w:rFonts w:ascii="Times New Roman" w:hAnsi="Times New Roman" w:eastAsia="宋体"/>
          <w:b w:val="0"/>
          <w:sz w:val="24"/>
        </w:rPr>
        <w:t>《民法典》第 509 条（合同附随义务）、《发票管理办法》</w:t>
      </w:r>
    </w:p>
    <w:p>
      <w:pPr>
        <w:spacing w:before="120" w:after="80" w:line="360" w:lineRule="auto"/>
      </w:pPr>
      <w:r>
        <w:rPr>
          <w:rFonts w:ascii="Times New Roman" w:hAnsi="Times New Roman" w:eastAsia="宋体"/>
          <w:b/>
          <w:color w:val="E67E22"/>
          <w:sz w:val="24"/>
        </w:rPr>
        <w:t>【中风险】第六条 — 不可抗力条款对持续影响的退出机制不完整</w:t>
      </w:r>
    </w:p>
    <w:p>
      <w:pPr>
        <w:spacing w:before="40" w:after="40" w:line="360" w:lineRule="auto"/>
      </w:pPr>
      <w:r>
        <w:rPr>
          <w:rFonts w:ascii="Times New Roman" w:hAnsi="Times New Roman" w:eastAsia="宋体"/>
          <w:b/>
          <w:color w:val="E67E22"/>
          <w:sz w:val="24"/>
        </w:rPr>
        <w:t>问题描述：</w:t>
      </w:r>
      <w:r>
        <w:rPr>
          <w:rFonts w:ascii="Times New Roman" w:hAnsi="Times New Roman" w:eastAsia="宋体"/>
          <w:b w:val="0"/>
          <w:sz w:val="24"/>
        </w:rPr>
        <w:t>约定不可抗力影响持续超过 60 日双方均有权终止，但未约定已支付费用的结算方式、未交付部分的处理、源代码及文档的返还义务。</w:t>
      </w:r>
    </w:p>
    <w:p>
      <w:pPr>
        <w:spacing w:before="40" w:after="40" w:line="360" w:lineRule="auto"/>
      </w:pPr>
      <w:r>
        <w:rPr>
          <w:rFonts w:ascii="Times New Roman" w:hAnsi="Times New Roman" w:eastAsia="宋体"/>
          <w:b/>
          <w:color w:val="E67E22"/>
          <w:sz w:val="24"/>
        </w:rPr>
        <w:t>原文摘录：</w:t>
      </w:r>
    </w:p>
    <w:p>
      <w:pPr>
        <w:spacing w:before="0" w:after="40" w:line="360" w:lineRule="auto"/>
        <w:ind w:left="480"/>
      </w:pPr>
      <w:r>
        <w:rPr>
          <w:rFonts w:ascii="Times New Roman" w:hAnsi="Times New Roman" w:eastAsia="宋体"/>
          <w:b w:val="0"/>
          <w:sz w:val="24"/>
        </w:rPr>
        <w:t>“根据不可抗力事由对履行本合同影响的程度，由双方协商延长履行期，或者部分免除本合同的履行义务。如该影响持续超过 60 日，双方均有权以书面通知对方终止本合同。”</w:t>
      </w:r>
    </w:p>
    <w:p>
      <w:pPr>
        <w:spacing w:before="40" w:after="40" w:line="360" w:lineRule="auto"/>
      </w:pPr>
      <w:r>
        <w:rPr>
          <w:rFonts w:ascii="Times New Roman" w:hAnsi="Times New Roman" w:eastAsia="宋体"/>
          <w:b/>
          <w:color w:val="E67E22"/>
          <w:sz w:val="24"/>
        </w:rPr>
        <w:t>风险分析：</w:t>
      </w:r>
    </w:p>
    <w:p>
      <w:pPr>
        <w:spacing w:before="0" w:after="40" w:line="360" w:lineRule="auto"/>
        <w:ind w:left="480"/>
      </w:pPr>
      <w:r>
        <w:rPr>
          <w:rFonts w:ascii="Times New Roman" w:hAnsi="Times New Roman" w:eastAsia="宋体"/>
          <w:b w:val="0"/>
          <w:sz w:val="24"/>
        </w:rPr>
        <w:t>不可抗力终止后，若未约定费用结算与交付物处置，容易产生善后纠纷（如已付未交付部分、源代码归属、训练数据归属等）。</w:t>
      </w:r>
    </w:p>
    <w:p>
      <w:pPr>
        <w:spacing w:before="40" w:after="40" w:line="360" w:lineRule="auto"/>
      </w:pPr>
      <w:r>
        <w:rPr>
          <w:rFonts w:ascii="Times New Roman" w:hAnsi="Times New Roman" w:eastAsia="宋体"/>
          <w:b/>
          <w:color w:val="E67E22"/>
          <w:sz w:val="24"/>
        </w:rPr>
        <w:t>修改建议：</w:t>
      </w:r>
    </w:p>
    <w:p>
      <w:pPr>
        <w:spacing w:before="0" w:after="40" w:line="360" w:lineRule="auto"/>
        <w:ind w:left="480"/>
      </w:pPr>
      <w:r>
        <w:rPr>
          <w:rFonts w:ascii="Times New Roman" w:hAnsi="Times New Roman" w:eastAsia="宋体"/>
          <w:b w:val="0"/>
          <w:sz w:val="24"/>
        </w:rPr>
        <w:t>建议补充不可抗力终止后的结算规则。建议条款：「因不可抗力致使本合同终止的，双方按已完成的工作量结算费用；乙方应在终止后 15 个工作日内向甲方移交已完成的源代码、文档、模型、数据等所有工作成果；已支付的超出已完成工作量部分款项，乙方应在 30 日内退还。」</w:t>
      </w:r>
    </w:p>
    <w:p>
      <w:pPr>
        <w:spacing w:before="40" w:after="40" w:line="360" w:lineRule="auto"/>
      </w:pPr>
      <w:r>
        <w:rPr>
          <w:rFonts w:ascii="Times New Roman" w:hAnsi="Times New Roman" w:eastAsia="宋体"/>
          <w:b/>
          <w:color w:val="E67E22"/>
          <w:sz w:val="24"/>
        </w:rPr>
        <w:t>法律依据：</w:t>
      </w:r>
    </w:p>
    <w:p>
      <w:pPr>
        <w:spacing w:before="0" w:after="40" w:line="360" w:lineRule="auto"/>
        <w:ind w:left="480"/>
      </w:pPr>
      <w:r>
        <w:rPr>
          <w:rFonts w:ascii="Times New Roman" w:hAnsi="Times New Roman" w:eastAsia="宋体"/>
          <w:b w:val="0"/>
          <w:sz w:val="24"/>
        </w:rPr>
        <w:t>《民法典》第 590 条（不可抗力）、第 566 条（合同解除的效力）</w:t>
      </w:r>
    </w:p>
    <w:p>
      <w:pPr>
        <w:spacing w:before="120" w:after="80" w:line="360" w:lineRule="auto"/>
      </w:pPr>
      <w:r>
        <w:rPr>
          <w:rFonts w:ascii="Times New Roman" w:hAnsi="Times New Roman" w:eastAsia="宋体"/>
          <w:b/>
          <w:color w:val="E67E22"/>
          <w:sz w:val="24"/>
        </w:rPr>
        <w:t>【中风险】第五条 — 保密条款范围与期限不明确</w:t>
      </w:r>
    </w:p>
    <w:p>
      <w:pPr>
        <w:spacing w:before="40" w:after="40" w:line="360" w:lineRule="auto"/>
      </w:pPr>
      <w:r>
        <w:rPr>
          <w:rFonts w:ascii="Times New Roman" w:hAnsi="Times New Roman" w:eastAsia="宋体"/>
          <w:b/>
          <w:color w:val="E67E22"/>
          <w:sz w:val="24"/>
        </w:rPr>
        <w:t>问题描述：</w:t>
      </w:r>
      <w:r>
        <w:rPr>
          <w:rFonts w:ascii="Times New Roman" w:hAnsi="Times New Roman" w:eastAsia="宋体"/>
          <w:b w:val="0"/>
          <w:sz w:val="24"/>
        </w:rPr>
        <w:t>约定双方对对方的商业秘密承担保密义务，但未约定具体保密期限、违约金标准、保密义务的延续期。第七款又约定「甲方授权乙方在不损害甲方声誉和泄露甲方商业秘密和技术秘密的情况下，在相关的宣传或出版物中使用其商标、商号或项目简介」——宣传使用权与保密义务边界模糊。</w:t>
      </w:r>
    </w:p>
    <w:p>
      <w:pPr>
        <w:spacing w:before="40" w:after="40" w:line="360" w:lineRule="auto"/>
      </w:pPr>
      <w:r>
        <w:rPr>
          <w:rFonts w:ascii="Times New Roman" w:hAnsi="Times New Roman" w:eastAsia="宋体"/>
          <w:b/>
          <w:color w:val="E67E22"/>
          <w:sz w:val="24"/>
        </w:rPr>
        <w:t>原文摘录：</w:t>
      </w:r>
    </w:p>
    <w:p>
      <w:pPr>
        <w:spacing w:before="0" w:after="40" w:line="360" w:lineRule="auto"/>
        <w:ind w:left="480"/>
      </w:pPr>
      <w:r>
        <w:rPr>
          <w:rFonts w:ascii="Times New Roman" w:hAnsi="Times New Roman" w:eastAsia="宋体"/>
          <w:b w:val="0"/>
          <w:sz w:val="24"/>
        </w:rPr>
        <w:t>“甲乙双方对于根据本合同而知悉或获得的对方的商业秘密（包括但不限于经营信息、技术信息）等，任何一方不得以任何方式向第三方披露或提供给第三方使用。”</w:t>
      </w:r>
    </w:p>
    <w:p>
      <w:pPr>
        <w:spacing w:before="40" w:after="40" w:line="360" w:lineRule="auto"/>
      </w:pPr>
      <w:r>
        <w:rPr>
          <w:rFonts w:ascii="Times New Roman" w:hAnsi="Times New Roman" w:eastAsia="宋体"/>
          <w:b/>
          <w:color w:val="E67E22"/>
          <w:sz w:val="24"/>
        </w:rPr>
        <w:t>风险分析：</w:t>
      </w:r>
    </w:p>
    <w:p>
      <w:pPr>
        <w:spacing w:before="0" w:after="40" w:line="360" w:lineRule="auto"/>
        <w:ind w:left="480"/>
      </w:pPr>
      <w:r>
        <w:rPr>
          <w:rFonts w:ascii="Times New Roman" w:hAnsi="Times New Roman" w:eastAsia="宋体"/>
          <w:b w:val="0"/>
          <w:sz w:val="24"/>
        </w:rPr>
        <w:t>保密义务未约定期限，将随合同终止而消灭；但工业 AI 项目中，模型、数据、客户信息需要长期保密。宣传使用权约定不清晰可能导致乙方在宣传中泄露甲方生产工艺等敏感信息。</w:t>
      </w:r>
    </w:p>
    <w:p>
      <w:pPr>
        <w:spacing w:before="40" w:after="40" w:line="360" w:lineRule="auto"/>
      </w:pPr>
      <w:r>
        <w:rPr>
          <w:rFonts w:ascii="Times New Roman" w:hAnsi="Times New Roman" w:eastAsia="宋体"/>
          <w:b/>
          <w:color w:val="E67E22"/>
          <w:sz w:val="24"/>
        </w:rPr>
        <w:t>修改建议：</w:t>
      </w:r>
    </w:p>
    <w:p>
      <w:pPr>
        <w:spacing w:before="0" w:after="40" w:line="360" w:lineRule="auto"/>
        <w:ind w:left="480"/>
      </w:pPr>
      <w:r>
        <w:rPr>
          <w:rFonts w:ascii="Times New Roman" w:hAnsi="Times New Roman" w:eastAsia="宋体"/>
          <w:b w:val="0"/>
          <w:sz w:val="24"/>
        </w:rPr>
        <w:t>建议明确保密期限为合同终止后 3 年，并限定乙方宣传使用范围。建议条款：「双方对在本合同项下知悉的对方商业秘密、技术秘密及保密信息承担保密义务，保密期限自本合同生效之日起至本合同终止后 3 年。乙方行使宣传使用权时，应事前将宣传内容提交甲方书面确认，未经确认不得发布。违反保密义务的一方应向守约方支付违约金人民币 10 万元，并赔偿实际损失。」</w:t>
      </w:r>
    </w:p>
    <w:p>
      <w:pPr>
        <w:spacing w:before="40" w:after="40" w:line="360" w:lineRule="auto"/>
      </w:pPr>
      <w:r>
        <w:rPr>
          <w:rFonts w:ascii="Times New Roman" w:hAnsi="Times New Roman" w:eastAsia="宋体"/>
          <w:b/>
          <w:color w:val="E67E22"/>
          <w:sz w:val="24"/>
        </w:rPr>
        <w:t>法律依据：</w:t>
      </w:r>
    </w:p>
    <w:p>
      <w:pPr>
        <w:spacing w:before="0" w:after="40" w:line="360" w:lineRule="auto"/>
        <w:ind w:left="480"/>
      </w:pPr>
      <w:r>
        <w:rPr>
          <w:rFonts w:ascii="Times New Roman" w:hAnsi="Times New Roman" w:eastAsia="宋体"/>
          <w:b w:val="0"/>
          <w:sz w:val="24"/>
        </w:rPr>
        <w:t>《民法典》第 501 条（保密义务）、第 1022 条</w:t>
      </w:r>
    </w:p>
    <w:p>
      <w:pPr>
        <w:spacing w:before="120" w:after="80" w:line="360" w:lineRule="auto"/>
      </w:pPr>
      <w:r>
        <w:rPr>
          <w:rFonts w:ascii="Times New Roman" w:hAnsi="Times New Roman" w:eastAsia="宋体"/>
          <w:b/>
          <w:color w:val="E67E22"/>
          <w:sz w:val="24"/>
        </w:rPr>
        <w:t>【中风险】合同书说明第 9 款 — 合同变更仅限于纸质盖章，与现代商务习惯不符</w:t>
      </w:r>
    </w:p>
    <w:p>
      <w:pPr>
        <w:spacing w:before="40" w:after="40" w:line="360" w:lineRule="auto"/>
      </w:pPr>
      <w:r>
        <w:rPr>
          <w:rFonts w:ascii="Times New Roman" w:hAnsi="Times New Roman" w:eastAsia="宋体"/>
          <w:b/>
          <w:color w:val="E67E22"/>
          <w:sz w:val="24"/>
        </w:rPr>
        <w:t>问题描述：</w:t>
      </w:r>
      <w:r>
        <w:rPr>
          <w:rFonts w:ascii="Times New Roman" w:hAnsi="Times New Roman" w:eastAsia="宋体"/>
          <w:b w:val="0"/>
          <w:sz w:val="24"/>
        </w:rPr>
        <w:t>约定「对本合同进行的任何更改和补充，均应由双方授权代表签字并加盖公司公章方有效」，排除了电子签章、邮件、微信等现代商务沟通工具的效力。但同时未明确「电子方式变更无效」的兜底，反而易引发实务争议。</w:t>
      </w:r>
    </w:p>
    <w:p>
      <w:pPr>
        <w:spacing w:before="40" w:after="40" w:line="360" w:lineRule="auto"/>
      </w:pPr>
      <w:r>
        <w:rPr>
          <w:rFonts w:ascii="Times New Roman" w:hAnsi="Times New Roman" w:eastAsia="宋体"/>
          <w:b/>
          <w:color w:val="E67E22"/>
          <w:sz w:val="24"/>
        </w:rPr>
        <w:t>原文摘录：</w:t>
      </w:r>
    </w:p>
    <w:p>
      <w:pPr>
        <w:spacing w:before="0" w:after="40" w:line="360" w:lineRule="auto"/>
        <w:ind w:left="480"/>
      </w:pPr>
      <w:r>
        <w:rPr>
          <w:rFonts w:ascii="Times New Roman" w:hAnsi="Times New Roman" w:eastAsia="宋体"/>
          <w:b w:val="0"/>
          <w:sz w:val="24"/>
        </w:rPr>
        <w:t>“对本合同进行的任何更改和补充，均应由双方授权代表签字并加盖公司公章方有效，所有更改、补充文件将成为合同不可分割的部分。”</w:t>
      </w:r>
    </w:p>
    <w:p>
      <w:pPr>
        <w:spacing w:before="40" w:after="40" w:line="360" w:lineRule="auto"/>
      </w:pPr>
      <w:r>
        <w:rPr>
          <w:rFonts w:ascii="Times New Roman" w:hAnsi="Times New Roman" w:eastAsia="宋体"/>
          <w:b/>
          <w:color w:val="E67E22"/>
          <w:sz w:val="24"/>
        </w:rPr>
        <w:t>风险分析：</w:t>
      </w:r>
    </w:p>
    <w:p>
      <w:pPr>
        <w:spacing w:before="0" w:after="40" w:line="360" w:lineRule="auto"/>
        <w:ind w:left="480"/>
      </w:pPr>
      <w:r>
        <w:rPr>
          <w:rFonts w:ascii="Times New Roman" w:hAnsi="Times New Roman" w:eastAsia="宋体"/>
          <w:b w:val="0"/>
          <w:sz w:val="24"/>
        </w:rPr>
        <w:t>一刀切排除电子方式变更，缺乏灵活性。但合同同时适用电子签名法，未明确电子方式效力将产生争议。</w:t>
      </w:r>
    </w:p>
    <w:p>
      <w:pPr>
        <w:spacing w:before="40" w:after="40" w:line="360" w:lineRule="auto"/>
      </w:pPr>
      <w:r>
        <w:rPr>
          <w:rFonts w:ascii="Times New Roman" w:hAnsi="Times New Roman" w:eastAsia="宋体"/>
          <w:b/>
          <w:color w:val="E67E22"/>
          <w:sz w:val="24"/>
        </w:rPr>
        <w:t>修改建议：</w:t>
      </w:r>
    </w:p>
    <w:p>
      <w:pPr>
        <w:spacing w:before="0" w:after="40" w:line="360" w:lineRule="auto"/>
        <w:ind w:left="480"/>
      </w:pPr>
      <w:r>
        <w:rPr>
          <w:rFonts w:ascii="Times New Roman" w:hAnsi="Times New Roman" w:eastAsia="宋体"/>
          <w:b w:val="0"/>
          <w:sz w:val="24"/>
        </w:rPr>
        <w:t>建议明确「电子方式变更亦有效，但应符合电子签名法要求」。建议条款：「对本合同的任何更改和补充，经双方法定代表人或授权代表通过电子签名（包括但不限于腾讯电子签、e 签宝等符合《电子签名法》要求的电子签名平台）签署或加盖电子印章后，与纸质签署具有同等法律效力。」</w:t>
      </w:r>
    </w:p>
    <w:p>
      <w:pPr>
        <w:spacing w:before="40" w:after="40" w:line="360" w:lineRule="auto"/>
      </w:pPr>
      <w:r>
        <w:rPr>
          <w:rFonts w:ascii="Times New Roman" w:hAnsi="Times New Roman" w:eastAsia="宋体"/>
          <w:b/>
          <w:color w:val="E67E22"/>
          <w:sz w:val="24"/>
        </w:rPr>
        <w:t>法律依据：</w:t>
      </w:r>
    </w:p>
    <w:p>
      <w:pPr>
        <w:spacing w:before="0" w:after="40" w:line="360" w:lineRule="auto"/>
        <w:ind w:left="480"/>
      </w:pPr>
      <w:r>
        <w:rPr>
          <w:rFonts w:ascii="Times New Roman" w:hAnsi="Times New Roman" w:eastAsia="宋体"/>
          <w:b w:val="0"/>
          <w:sz w:val="24"/>
        </w:rPr>
        <w:t>《电子签名法》第 13 条、第 14 条</w:t>
      </w:r>
    </w:p>
    <w:p>
      <w:pPr>
        <w:spacing w:before="200" w:after="120" w:line="360" w:lineRule="auto"/>
      </w:pPr>
      <w:r>
        <w:rPr>
          <w:rFonts w:ascii="黑体" w:hAnsi="黑体" w:eastAsia="黑体"/>
          <w:b/>
          <w:color w:val="2C3E50"/>
          <w:sz w:val="28"/>
        </w:rPr>
        <w:t>（三）低风险条款</w:t>
      </w:r>
    </w:p>
    <w:p>
      <w:pPr>
        <w:spacing w:before="120" w:after="80" w:line="360" w:lineRule="auto"/>
      </w:pPr>
      <w:r>
        <w:rPr>
          <w:rFonts w:ascii="Times New Roman" w:hAnsi="Times New Roman" w:eastAsia="宋体"/>
          <w:b/>
          <w:color w:val="27AE60"/>
          <w:sz w:val="24"/>
        </w:rPr>
        <w:t>【低风险】4.6 款 — 培训条款简略</w:t>
      </w:r>
    </w:p>
    <w:p>
      <w:pPr>
        <w:spacing w:before="40" w:after="40" w:line="360" w:lineRule="auto"/>
      </w:pPr>
      <w:r>
        <w:rPr>
          <w:rFonts w:ascii="Times New Roman" w:hAnsi="Times New Roman" w:eastAsia="宋体"/>
          <w:b/>
          <w:color w:val="27AE60"/>
          <w:sz w:val="24"/>
        </w:rPr>
        <w:t>问题描述：</w:t>
      </w:r>
      <w:r>
        <w:rPr>
          <w:rFonts w:ascii="Times New Roman" w:hAnsi="Times New Roman" w:eastAsia="宋体"/>
          <w:b w:val="0"/>
          <w:sz w:val="24"/>
        </w:rPr>
        <w:t>约定「乙方向甲方提供壹次的软件使用培训，提供软件使用操作视频」，未约定培训效果不达标（如关键操作人员未掌握）时的处理。</w:t>
      </w:r>
    </w:p>
    <w:p>
      <w:pPr>
        <w:spacing w:before="40" w:after="40" w:line="360" w:lineRule="auto"/>
      </w:pPr>
      <w:r>
        <w:rPr>
          <w:rFonts w:ascii="Times New Roman" w:hAnsi="Times New Roman" w:eastAsia="宋体"/>
          <w:b/>
          <w:color w:val="27AE60"/>
          <w:sz w:val="24"/>
        </w:rPr>
        <w:t>原文摘录：</w:t>
      </w:r>
    </w:p>
    <w:p>
      <w:pPr>
        <w:spacing w:before="0" w:after="40" w:line="360" w:lineRule="auto"/>
        <w:ind w:left="480"/>
      </w:pPr>
      <w:r>
        <w:rPr>
          <w:rFonts w:ascii="Times New Roman" w:hAnsi="Times New Roman" w:eastAsia="宋体"/>
          <w:b w:val="0"/>
          <w:sz w:val="24"/>
        </w:rPr>
        <w:t>“乙方向甲方提供壹次的软件使用培训，提供软件使用操作视频。”</w:t>
      </w:r>
    </w:p>
    <w:p>
      <w:pPr>
        <w:spacing w:before="40" w:after="40" w:line="360" w:lineRule="auto"/>
      </w:pPr>
      <w:r>
        <w:rPr>
          <w:rFonts w:ascii="Times New Roman" w:hAnsi="Times New Roman" w:eastAsia="宋体"/>
          <w:b/>
          <w:color w:val="27AE60"/>
          <w:sz w:val="24"/>
        </w:rPr>
        <w:t>风险分析：</w:t>
      </w:r>
    </w:p>
    <w:p>
      <w:pPr>
        <w:spacing w:before="0" w:after="40" w:line="360" w:lineRule="auto"/>
        <w:ind w:left="480"/>
      </w:pPr>
      <w:r>
        <w:rPr>
          <w:rFonts w:ascii="Times New Roman" w:hAnsi="Times New Roman" w:eastAsia="宋体"/>
          <w:b w:val="0"/>
          <w:sz w:val="24"/>
        </w:rPr>
        <w:t>培训效果直接影响甲方后续独立运维能力。一次培训在工业 AI 场景下可能不足。</w:t>
      </w:r>
    </w:p>
    <w:p>
      <w:pPr>
        <w:spacing w:before="40" w:after="40" w:line="360" w:lineRule="auto"/>
      </w:pPr>
      <w:r>
        <w:rPr>
          <w:rFonts w:ascii="Times New Roman" w:hAnsi="Times New Roman" w:eastAsia="宋体"/>
          <w:b/>
          <w:color w:val="27AE60"/>
          <w:sz w:val="24"/>
        </w:rPr>
        <w:t>修改建议：</w:t>
      </w:r>
    </w:p>
    <w:p>
      <w:pPr>
        <w:spacing w:before="0" w:after="40" w:line="360" w:lineRule="auto"/>
        <w:ind w:left="480"/>
      </w:pPr>
      <w:r>
        <w:rPr>
          <w:rFonts w:ascii="Times New Roman" w:hAnsi="Times New Roman" w:eastAsia="宋体"/>
          <w:b w:val="0"/>
          <w:sz w:val="24"/>
        </w:rPr>
        <w:t>建议明确培训次数（不少于 2 次）、培训对象（不少于 3 名关键操作人员）及培训后评估。</w:t>
      </w:r>
    </w:p>
    <w:p>
      <w:pPr>
        <w:spacing w:before="40" w:after="40" w:line="360" w:lineRule="auto"/>
      </w:pPr>
      <w:r>
        <w:rPr>
          <w:rFonts w:ascii="Times New Roman" w:hAnsi="Times New Roman" w:eastAsia="宋体"/>
          <w:b/>
          <w:color w:val="27AE60"/>
          <w:sz w:val="24"/>
        </w:rPr>
        <w:t>法律依据：</w:t>
      </w:r>
    </w:p>
    <w:p>
      <w:pPr>
        <w:spacing w:before="0" w:after="40" w:line="360" w:lineRule="auto"/>
        <w:ind w:left="480"/>
      </w:pPr>
      <w:r>
        <w:rPr>
          <w:rFonts w:ascii="Times New Roman" w:hAnsi="Times New Roman" w:eastAsia="宋体"/>
          <w:b w:val="0"/>
          <w:sz w:val="24"/>
        </w:rPr>
        <w:t>《民法典》第 510 条、第 511 条</w:t>
      </w:r>
    </w:p>
    <w:p>
      <w:pPr>
        <w:spacing w:before="120" w:after="80" w:line="360" w:lineRule="auto"/>
      </w:pPr>
      <w:r>
        <w:rPr>
          <w:rFonts w:ascii="Times New Roman" w:hAnsi="Times New Roman" w:eastAsia="宋体"/>
          <w:b/>
          <w:color w:val="27AE60"/>
          <w:sz w:val="24"/>
        </w:rPr>
        <w:t>【低风险】第四条第 7 款 — 数据备份范围与责任不明确</w:t>
      </w:r>
    </w:p>
    <w:p>
      <w:pPr>
        <w:spacing w:before="40" w:after="40" w:line="360" w:lineRule="auto"/>
      </w:pPr>
      <w:r>
        <w:rPr>
          <w:rFonts w:ascii="Times New Roman" w:hAnsi="Times New Roman" w:eastAsia="宋体"/>
          <w:b/>
          <w:color w:val="27AE60"/>
          <w:sz w:val="24"/>
        </w:rPr>
        <w:t>问题描述：</w:t>
      </w:r>
      <w:r>
        <w:rPr>
          <w:rFonts w:ascii="Times New Roman" w:hAnsi="Times New Roman" w:eastAsia="宋体"/>
          <w:b w:val="0"/>
          <w:sz w:val="24"/>
        </w:rPr>
        <w:t>维护内容包括「数据备份」，但未约定备份频率（每日/每周）、保存期限、灾难恢复责任、数据丢失的违约责任。</w:t>
      </w:r>
    </w:p>
    <w:p>
      <w:pPr>
        <w:spacing w:before="40" w:after="40" w:line="360" w:lineRule="auto"/>
      </w:pPr>
      <w:r>
        <w:rPr>
          <w:rFonts w:ascii="Times New Roman" w:hAnsi="Times New Roman" w:eastAsia="宋体"/>
          <w:b/>
          <w:color w:val="27AE60"/>
          <w:sz w:val="24"/>
        </w:rPr>
        <w:t>原文摘录：</w:t>
      </w:r>
    </w:p>
    <w:p>
      <w:pPr>
        <w:spacing w:before="0" w:after="40" w:line="360" w:lineRule="auto"/>
        <w:ind w:left="480"/>
      </w:pPr>
      <w:r>
        <w:rPr>
          <w:rFonts w:ascii="Times New Roman" w:hAnsi="Times New Roman" w:eastAsia="宋体"/>
          <w:b w:val="0"/>
          <w:sz w:val="24"/>
        </w:rPr>
        <w:t>“维护内容：软件补丁更新、系统基础环境维护、软件实施指导、人员培训、数据备份。”</w:t>
      </w:r>
    </w:p>
    <w:p>
      <w:pPr>
        <w:spacing w:before="40" w:after="40" w:line="360" w:lineRule="auto"/>
      </w:pPr>
      <w:r>
        <w:rPr>
          <w:rFonts w:ascii="Times New Roman" w:hAnsi="Times New Roman" w:eastAsia="宋体"/>
          <w:b/>
          <w:color w:val="27AE60"/>
          <w:sz w:val="24"/>
        </w:rPr>
        <w:t>风险分析：</w:t>
      </w:r>
    </w:p>
    <w:p>
      <w:pPr>
        <w:spacing w:before="0" w:after="40" w:line="360" w:lineRule="auto"/>
        <w:ind w:left="480"/>
      </w:pPr>
      <w:r>
        <w:rPr>
          <w:rFonts w:ascii="Times New Roman" w:hAnsi="Times New Roman" w:eastAsia="宋体"/>
          <w:b w:val="0"/>
          <w:sz w:val="24"/>
        </w:rPr>
        <w:t>数据是工业 AI 系统的核心资产，备份责任不清易导致数据丢失后纠纷。</w:t>
      </w:r>
    </w:p>
    <w:p>
      <w:pPr>
        <w:spacing w:before="40" w:after="40" w:line="360" w:lineRule="auto"/>
      </w:pPr>
      <w:r>
        <w:rPr>
          <w:rFonts w:ascii="Times New Roman" w:hAnsi="Times New Roman" w:eastAsia="宋体"/>
          <w:b/>
          <w:color w:val="27AE60"/>
          <w:sz w:val="24"/>
        </w:rPr>
        <w:t>修改建议：</w:t>
      </w:r>
    </w:p>
    <w:p>
      <w:pPr>
        <w:spacing w:before="0" w:after="40" w:line="360" w:lineRule="auto"/>
        <w:ind w:left="480"/>
      </w:pPr>
      <w:r>
        <w:rPr>
          <w:rFonts w:ascii="Times New Roman" w:hAnsi="Times New Roman" w:eastAsia="宋体"/>
          <w:b w:val="0"/>
          <w:sz w:val="24"/>
        </w:rPr>
        <w:t>建议明确「每日全量备份 + 异地灾备、备份保留不少于 90 日、数据丢失的违约金」。</w:t>
      </w:r>
    </w:p>
    <w:p>
      <w:pPr>
        <w:spacing w:before="40" w:after="40" w:line="360" w:lineRule="auto"/>
      </w:pPr>
      <w:r>
        <w:rPr>
          <w:rFonts w:ascii="Times New Roman" w:hAnsi="Times New Roman" w:eastAsia="宋体"/>
          <w:b/>
          <w:color w:val="27AE60"/>
          <w:sz w:val="24"/>
        </w:rPr>
        <w:t>法律依据：</w:t>
      </w:r>
    </w:p>
    <w:p>
      <w:pPr>
        <w:spacing w:before="0" w:after="40" w:line="360" w:lineRule="auto"/>
        <w:ind w:left="480"/>
      </w:pPr>
      <w:r>
        <w:rPr>
          <w:rFonts w:ascii="Times New Roman" w:hAnsi="Times New Roman" w:eastAsia="宋体"/>
          <w:b w:val="0"/>
          <w:sz w:val="24"/>
        </w:rPr>
        <w:t>《民法典》第 583 条、第 584 条</w:t>
      </w:r>
    </w:p>
    <w:p>
      <w:pPr>
        <w:spacing w:before="120" w:after="80" w:line="360" w:lineRule="auto"/>
      </w:pPr>
      <w:r>
        <w:rPr>
          <w:rFonts w:ascii="Times New Roman" w:hAnsi="Times New Roman" w:eastAsia="宋体"/>
          <w:b/>
          <w:color w:val="27AE60"/>
          <w:sz w:val="24"/>
        </w:rPr>
        <w:t>【低风险】3.1 款 — 远程服务安全责任边界未约定</w:t>
      </w:r>
    </w:p>
    <w:p>
      <w:pPr>
        <w:spacing w:before="40" w:after="40" w:line="360" w:lineRule="auto"/>
      </w:pPr>
      <w:r>
        <w:rPr>
          <w:rFonts w:ascii="Times New Roman" w:hAnsi="Times New Roman" w:eastAsia="宋体"/>
          <w:b/>
          <w:color w:val="27AE60"/>
          <w:sz w:val="24"/>
        </w:rPr>
        <w:t>问题描述：</w:t>
      </w:r>
      <w:r>
        <w:rPr>
          <w:rFonts w:ascii="Times New Roman" w:hAnsi="Times New Roman" w:eastAsia="宋体"/>
          <w:b w:val="0"/>
          <w:sz w:val="24"/>
        </w:rPr>
        <w:t>乙方可远程访问甲方服务器进行系统配置、安装调试、问题检测，但未约定访问权限、操作审计、数据加密传输、安全事故责任划分。</w:t>
      </w:r>
    </w:p>
    <w:p>
      <w:pPr>
        <w:spacing w:before="40" w:after="40" w:line="360" w:lineRule="auto"/>
      </w:pPr>
      <w:r>
        <w:rPr>
          <w:rFonts w:ascii="Times New Roman" w:hAnsi="Times New Roman" w:eastAsia="宋体"/>
          <w:b/>
          <w:color w:val="27AE60"/>
          <w:sz w:val="24"/>
        </w:rPr>
        <w:t>原文摘录：</w:t>
      </w:r>
    </w:p>
    <w:p>
      <w:pPr>
        <w:spacing w:before="0" w:after="40" w:line="360" w:lineRule="auto"/>
        <w:ind w:left="480"/>
      </w:pPr>
      <w:r>
        <w:rPr>
          <w:rFonts w:ascii="Times New Roman" w:hAnsi="Times New Roman" w:eastAsia="宋体"/>
          <w:b w:val="0"/>
          <w:sz w:val="24"/>
        </w:rPr>
        <w:t>“远程服务: 甲方授权乙方可以远程访问甲方的软件开发及使用环境服务器，在实施期内，乙方提供无次数限制的远程服务。包括但不限于（系统配置、安装调试、问题检测）等。”</w:t>
      </w:r>
    </w:p>
    <w:p>
      <w:pPr>
        <w:spacing w:before="40" w:after="40" w:line="360" w:lineRule="auto"/>
      </w:pPr>
      <w:r>
        <w:rPr>
          <w:rFonts w:ascii="Times New Roman" w:hAnsi="Times New Roman" w:eastAsia="宋体"/>
          <w:b/>
          <w:color w:val="27AE60"/>
          <w:sz w:val="24"/>
        </w:rPr>
        <w:t>风险分析：</w:t>
      </w:r>
    </w:p>
    <w:p>
      <w:pPr>
        <w:spacing w:before="0" w:after="40" w:line="360" w:lineRule="auto"/>
        <w:ind w:left="480"/>
      </w:pPr>
      <w:r>
        <w:rPr>
          <w:rFonts w:ascii="Times New Roman" w:hAnsi="Times New Roman" w:eastAsia="宋体"/>
          <w:b w:val="0"/>
          <w:sz w:val="24"/>
        </w:rPr>
        <w:t>远程访问是工业控制系统的高风险操作，缺乏权限与责任约定易引发安全事件。</w:t>
      </w:r>
    </w:p>
    <w:p>
      <w:pPr>
        <w:spacing w:before="40" w:after="40" w:line="360" w:lineRule="auto"/>
      </w:pPr>
      <w:r>
        <w:rPr>
          <w:rFonts w:ascii="Times New Roman" w:hAnsi="Times New Roman" w:eastAsia="宋体"/>
          <w:b/>
          <w:color w:val="27AE60"/>
          <w:sz w:val="24"/>
        </w:rPr>
        <w:t>修改建议：</w:t>
      </w:r>
    </w:p>
    <w:p>
      <w:pPr>
        <w:spacing w:before="0" w:after="40" w:line="360" w:lineRule="auto"/>
        <w:ind w:left="480"/>
      </w:pPr>
      <w:r>
        <w:rPr>
          <w:rFonts w:ascii="Times New Roman" w:hAnsi="Times New Roman" w:eastAsia="宋体"/>
          <w:b w:val="0"/>
          <w:sz w:val="24"/>
        </w:rPr>
        <w:t>建议补充远程访问的安全要求（VPN + 审计日志 + 最小权限原则）与安全事故责任。</w:t>
      </w:r>
    </w:p>
    <w:p>
      <w:pPr>
        <w:spacing w:before="40" w:after="40" w:line="360" w:lineRule="auto"/>
      </w:pPr>
      <w:r>
        <w:rPr>
          <w:rFonts w:ascii="Times New Roman" w:hAnsi="Times New Roman" w:eastAsia="宋体"/>
          <w:b/>
          <w:color w:val="27AE60"/>
          <w:sz w:val="24"/>
        </w:rPr>
        <w:t>法律依据：</w:t>
      </w:r>
    </w:p>
    <w:p>
      <w:pPr>
        <w:spacing w:before="0" w:after="40" w:line="360" w:lineRule="auto"/>
        <w:ind w:left="480"/>
      </w:pPr>
      <w:r>
        <w:rPr>
          <w:rFonts w:ascii="Times New Roman" w:hAnsi="Times New Roman" w:eastAsia="宋体"/>
          <w:b w:val="0"/>
          <w:sz w:val="24"/>
        </w:rPr>
        <w:t>《网络安全法》第 21 条、第 37 条、《数据安全法》第 27 条</w:t>
      </w:r>
    </w:p>
    <w:p>
      <w:pPr>
        <w:spacing w:before="120" w:after="80" w:line="360" w:lineRule="auto"/>
      </w:pPr>
      <w:r>
        <w:rPr>
          <w:rFonts w:ascii="Times New Roman" w:hAnsi="Times New Roman" w:eastAsia="宋体"/>
          <w:b/>
          <w:color w:val="27AE60"/>
          <w:sz w:val="24"/>
        </w:rPr>
        <w:t>【低风险】4.4 款 — 甲方项目负责人变更未约定通知机制</w:t>
      </w:r>
    </w:p>
    <w:p>
      <w:pPr>
        <w:spacing w:before="40" w:after="40" w:line="360" w:lineRule="auto"/>
      </w:pPr>
      <w:r>
        <w:rPr>
          <w:rFonts w:ascii="Times New Roman" w:hAnsi="Times New Roman" w:eastAsia="宋体"/>
          <w:b/>
          <w:color w:val="27AE60"/>
          <w:sz w:val="24"/>
        </w:rPr>
        <w:t>问题描述：</w:t>
      </w:r>
      <w:r>
        <w:rPr>
          <w:rFonts w:ascii="Times New Roman" w:hAnsi="Times New Roman" w:eastAsia="宋体"/>
          <w:b w:val="0"/>
          <w:sz w:val="24"/>
        </w:rPr>
        <w:t>仅约定甲方项目负责人姓名与电话，但未约定负责人变更后的通知机制，可能影响后续维护与验收的对接。</w:t>
      </w:r>
    </w:p>
    <w:p>
      <w:pPr>
        <w:spacing w:before="40" w:after="40" w:line="360" w:lineRule="auto"/>
      </w:pPr>
      <w:r>
        <w:rPr>
          <w:rFonts w:ascii="Times New Roman" w:hAnsi="Times New Roman" w:eastAsia="宋体"/>
          <w:b/>
          <w:color w:val="27AE60"/>
          <w:sz w:val="24"/>
        </w:rPr>
        <w:t>原文摘录：</w:t>
      </w:r>
    </w:p>
    <w:p>
      <w:pPr>
        <w:spacing w:before="0" w:after="40" w:line="360" w:lineRule="auto"/>
        <w:ind w:left="480"/>
      </w:pPr>
      <w:r>
        <w:rPr>
          <w:rFonts w:ascii="Times New Roman" w:hAnsi="Times New Roman" w:eastAsia="宋体"/>
          <w:b w:val="0"/>
          <w:sz w:val="24"/>
        </w:rPr>
        <w:t>“甲方项目负责人：姓名: AAA 电话：1565468475”</w:t>
      </w:r>
    </w:p>
    <w:p>
      <w:pPr>
        <w:spacing w:before="40" w:after="40" w:line="360" w:lineRule="auto"/>
      </w:pPr>
      <w:r>
        <w:rPr>
          <w:rFonts w:ascii="Times New Roman" w:hAnsi="Times New Roman" w:eastAsia="宋体"/>
          <w:b/>
          <w:color w:val="27AE60"/>
          <w:sz w:val="24"/>
        </w:rPr>
        <w:t>风险分析：</w:t>
      </w:r>
    </w:p>
    <w:p>
      <w:pPr>
        <w:spacing w:before="0" w:after="40" w:line="360" w:lineRule="auto"/>
        <w:ind w:left="480"/>
      </w:pPr>
      <w:r>
        <w:rPr>
          <w:rFonts w:ascii="Times New Roman" w:hAnsi="Times New Roman" w:eastAsia="宋体"/>
          <w:b w:val="0"/>
          <w:sz w:val="24"/>
        </w:rPr>
        <w:t>负责人变更未及时通知乙方可能导致验收延误、维护通知失效。</w:t>
      </w:r>
    </w:p>
    <w:p>
      <w:pPr>
        <w:spacing w:before="40" w:after="40" w:line="360" w:lineRule="auto"/>
      </w:pPr>
      <w:r>
        <w:rPr>
          <w:rFonts w:ascii="Times New Roman" w:hAnsi="Times New Roman" w:eastAsia="宋体"/>
          <w:b/>
          <w:color w:val="27AE60"/>
          <w:sz w:val="24"/>
        </w:rPr>
        <w:t>修改建议：</w:t>
      </w:r>
    </w:p>
    <w:p>
      <w:pPr>
        <w:spacing w:before="0" w:after="40" w:line="360" w:lineRule="auto"/>
        <w:ind w:left="480"/>
      </w:pPr>
      <w:r>
        <w:rPr>
          <w:rFonts w:ascii="Times New Roman" w:hAnsi="Times New Roman" w:eastAsia="宋体"/>
          <w:b w:val="0"/>
          <w:sz w:val="24"/>
        </w:rPr>
        <w:t>建议明确「甲方变更项目负责人应书面通知乙方，否则原负责人行为对乙方有效」。</w:t>
      </w:r>
    </w:p>
    <w:p>
      <w:pPr>
        <w:spacing w:before="40" w:after="40" w:line="360" w:lineRule="auto"/>
      </w:pPr>
      <w:r>
        <w:rPr>
          <w:rFonts w:ascii="Times New Roman" w:hAnsi="Times New Roman" w:eastAsia="宋体"/>
          <w:b/>
          <w:color w:val="27AE60"/>
          <w:sz w:val="24"/>
        </w:rPr>
        <w:t>法律依据：</w:t>
      </w:r>
    </w:p>
    <w:p>
      <w:pPr>
        <w:spacing w:before="0" w:after="40" w:line="360" w:lineRule="auto"/>
        <w:ind w:left="480"/>
      </w:pPr>
      <w:r>
        <w:rPr>
          <w:rFonts w:ascii="Times New Roman" w:hAnsi="Times New Roman" w:eastAsia="宋体"/>
          <w:b w:val="0"/>
          <w:sz w:val="24"/>
        </w:rPr>
        <w:t>《民法典》第 65 条、第 488 条</w:t>
      </w:r>
    </w:p>
    <w:p>
      <w:r>
        <w:br w:type="page"/>
      </w:r>
    </w:p>
    <w:p>
      <w:pPr>
        <w:spacing w:before="240" w:after="200" w:line="360" w:lineRule="auto"/>
        <w:jc w:val="center"/>
      </w:pPr>
      <w:r>
        <w:rPr>
          <w:rFonts w:ascii="黑体" w:hAnsi="黑体" w:eastAsia="黑体"/>
          <w:b/>
          <w:color w:val="2C3E50"/>
          <w:sz w:val="32"/>
        </w:rPr>
        <w:t>五、缺失条款</w:t>
      </w:r>
    </w:p>
    <w:p>
      <w:pPr>
        <w:spacing w:before="120" w:after="80" w:line="360" w:lineRule="auto"/>
      </w:pPr>
      <w:r>
        <w:rPr>
          <w:rFonts w:ascii="Times New Roman" w:hAnsi="Times New Roman" w:eastAsia="宋体"/>
          <w:b/>
          <w:color w:val="2C3E50"/>
          <w:sz w:val="24"/>
        </w:rPr>
        <w:t>1. 履约担保条款</w:t>
      </w:r>
    </w:p>
    <w:p>
      <w:pPr>
        <w:spacing w:before="40" w:after="40" w:line="360" w:lineRule="auto"/>
      </w:pPr>
      <w:r>
        <w:rPr>
          <w:rFonts w:ascii="Times New Roman" w:hAnsi="Times New Roman" w:eastAsia="宋体"/>
          <w:b/>
          <w:color w:val="2C3E50"/>
          <w:sz w:val="24"/>
        </w:rPr>
        <w:t>建议补充：</w:t>
      </w:r>
    </w:p>
    <w:p>
      <w:pPr>
        <w:spacing w:before="0" w:after="40" w:line="360" w:lineRule="auto"/>
        <w:ind w:left="480"/>
      </w:pPr>
      <w:r>
        <w:rPr>
          <w:rFonts w:ascii="Times New Roman" w:hAnsi="Times New Roman" w:eastAsia="宋体"/>
          <w:b w:val="0"/>
          <w:sz w:val="24"/>
        </w:rPr>
        <w:t>乙方应于收到预付款后 3 个工作日内向甲方提供合同总额 10% 的银行履约保函（有效期至终验合格后 12 个月）。如乙方未提交保函，甲方有权暂停付款并不视为违约。</w:t>
      </w:r>
    </w:p>
    <w:p>
      <w:pPr>
        <w:spacing w:before="120" w:after="80" w:line="360" w:lineRule="auto"/>
      </w:pPr>
      <w:r>
        <w:rPr>
          <w:rFonts w:ascii="Times New Roman" w:hAnsi="Times New Roman" w:eastAsia="宋体"/>
          <w:b/>
          <w:color w:val="2C3E50"/>
          <w:sz w:val="24"/>
        </w:rPr>
        <w:t>2. 交付物清单条款</w:t>
      </w:r>
    </w:p>
    <w:p>
      <w:pPr>
        <w:spacing w:before="40" w:after="40" w:line="360" w:lineRule="auto"/>
      </w:pPr>
      <w:r>
        <w:rPr>
          <w:rFonts w:ascii="Times New Roman" w:hAnsi="Times New Roman" w:eastAsia="宋体"/>
          <w:b/>
          <w:color w:val="2C3E50"/>
          <w:sz w:val="24"/>
        </w:rPr>
        <w:t>建议补充：</w:t>
      </w:r>
    </w:p>
    <w:p>
      <w:pPr>
        <w:spacing w:before="0" w:after="40" w:line="360" w:lineRule="auto"/>
        <w:ind w:left="480"/>
      </w:pPr>
      <w:r>
        <w:rPr>
          <w:rFonts w:ascii="Times New Roman" w:hAnsi="Times New Roman" w:eastAsia="宋体"/>
          <w:b w:val="0"/>
          <w:sz w:val="24"/>
        </w:rPr>
        <w:t>乙方应向甲方交付：①系统源代码及编译版本；②数据库设计文档；③API 接口文档；④部署与运维手册；⑤测试报告；⑥用户操作手册；⑦培训视频；⑧模型文件与训练数据。所有交付物应随项目终验一次性提交，归档为合同附件。</w:t>
      </w:r>
    </w:p>
    <w:p>
      <w:pPr>
        <w:spacing w:before="120" w:after="80" w:line="360" w:lineRule="auto"/>
      </w:pPr>
      <w:r>
        <w:rPr>
          <w:rFonts w:ascii="Times New Roman" w:hAnsi="Times New Roman" w:eastAsia="宋体"/>
          <w:b/>
          <w:color w:val="2C3E50"/>
          <w:sz w:val="24"/>
        </w:rPr>
        <w:t>3. 性能与 SLA（服务等级）条款</w:t>
      </w:r>
    </w:p>
    <w:p>
      <w:pPr>
        <w:spacing w:before="40" w:after="40" w:line="360" w:lineRule="auto"/>
      </w:pPr>
      <w:r>
        <w:rPr>
          <w:rFonts w:ascii="Times New Roman" w:hAnsi="Times New Roman" w:eastAsia="宋体"/>
          <w:b/>
          <w:color w:val="2C3E50"/>
          <w:sz w:val="24"/>
        </w:rPr>
        <w:t>建议补充：</w:t>
      </w:r>
    </w:p>
    <w:p>
      <w:pPr>
        <w:spacing w:before="0" w:after="40" w:line="360" w:lineRule="auto"/>
        <w:ind w:left="480"/>
      </w:pPr>
      <w:r>
        <w:rPr>
          <w:rFonts w:ascii="Times New Roman" w:hAnsi="Times New Roman" w:eastAsia="宋体"/>
          <w:b w:val="0"/>
          <w:sz w:val="24"/>
        </w:rPr>
        <w:t>系统可用率应不低于 99%（按月统计），识别准确率不低于 95%（按甲方提供的标准测试集），重大故障 4 小时内响应、一般故障 24 小时内响应、紧急安全漏洞 72 小时内修复。违反 SLA 的，按未达标时长折算违约金。</w:t>
      </w:r>
    </w:p>
    <w:p>
      <w:pPr>
        <w:spacing w:before="120" w:after="80" w:line="360" w:lineRule="auto"/>
      </w:pPr>
      <w:r>
        <w:rPr>
          <w:rFonts w:ascii="Times New Roman" w:hAnsi="Times New Roman" w:eastAsia="宋体"/>
          <w:b/>
          <w:color w:val="2C3E50"/>
          <w:sz w:val="24"/>
        </w:rPr>
        <w:t>4. 知识产权登记与维权条款</w:t>
      </w:r>
    </w:p>
    <w:p>
      <w:pPr>
        <w:spacing w:before="40" w:after="40" w:line="360" w:lineRule="auto"/>
      </w:pPr>
      <w:r>
        <w:rPr>
          <w:rFonts w:ascii="Times New Roman" w:hAnsi="Times New Roman" w:eastAsia="宋体"/>
          <w:b/>
          <w:color w:val="2C3E50"/>
          <w:sz w:val="24"/>
        </w:rPr>
        <w:t>建议补充：</w:t>
      </w:r>
    </w:p>
    <w:p>
      <w:pPr>
        <w:spacing w:before="0" w:after="40" w:line="360" w:lineRule="auto"/>
        <w:ind w:left="480"/>
      </w:pPr>
      <w:r>
        <w:rPr>
          <w:rFonts w:ascii="Times New Roman" w:hAnsi="Times New Roman" w:eastAsia="宋体"/>
          <w:b w:val="0"/>
          <w:sz w:val="24"/>
        </w:rPr>
        <w:t>双方应共同配合办理软件著作权登记（费用由甲方承担）。一方发现侵权行为时，应及时通知另一方，双方协商维权方案；维权收益按双方贡献分配。</w:t>
      </w:r>
    </w:p>
    <w:p>
      <w:pPr>
        <w:spacing w:before="120" w:after="80" w:line="360" w:lineRule="auto"/>
      </w:pPr>
      <w:r>
        <w:rPr>
          <w:rFonts w:ascii="Times New Roman" w:hAnsi="Times New Roman" w:eastAsia="宋体"/>
          <w:b/>
          <w:color w:val="2C3E50"/>
          <w:sz w:val="24"/>
        </w:rPr>
        <w:t>5. 数据所有权与数据安全条款</w:t>
      </w:r>
    </w:p>
    <w:p>
      <w:pPr>
        <w:spacing w:before="40" w:after="40" w:line="360" w:lineRule="auto"/>
      </w:pPr>
      <w:r>
        <w:rPr>
          <w:rFonts w:ascii="Times New Roman" w:hAnsi="Times New Roman" w:eastAsia="宋体"/>
          <w:b/>
          <w:color w:val="2C3E50"/>
          <w:sz w:val="24"/>
        </w:rPr>
        <w:t>建议补充：</w:t>
      </w:r>
    </w:p>
    <w:p>
      <w:pPr>
        <w:spacing w:before="0" w:after="40" w:line="360" w:lineRule="auto"/>
        <w:ind w:left="480"/>
      </w:pPr>
      <w:r>
        <w:rPr>
          <w:rFonts w:ascii="Times New Roman" w:hAnsi="Times New Roman" w:eastAsia="宋体"/>
          <w:b w:val="0"/>
          <w:sz w:val="24"/>
        </w:rPr>
        <w:t>本项目涉及的甲方业务数据（包括监控视频、人员信息、报警记录等）所有权归甲方所有。乙方仅在本项目范围内使用上述数据，不得用于模型训练（除非另行获得甲方书面授权）。乙方应建立数据安全管理制度并接受甲方审计。</w:t>
      </w:r>
    </w:p>
    <w:p>
      <w:pPr>
        <w:spacing w:before="120" w:after="80" w:line="360" w:lineRule="auto"/>
      </w:pPr>
      <w:r>
        <w:rPr>
          <w:rFonts w:ascii="Times New Roman" w:hAnsi="Times New Roman" w:eastAsia="宋体"/>
          <w:b/>
          <w:color w:val="2C3E50"/>
          <w:sz w:val="24"/>
        </w:rPr>
        <w:t>6. 个人信息保护与数据合规条款</w:t>
      </w:r>
    </w:p>
    <w:p>
      <w:pPr>
        <w:spacing w:before="40" w:after="40" w:line="360" w:lineRule="auto"/>
      </w:pPr>
      <w:r>
        <w:rPr>
          <w:rFonts w:ascii="Times New Roman" w:hAnsi="Times New Roman" w:eastAsia="宋体"/>
          <w:b/>
          <w:color w:val="2C3E50"/>
          <w:sz w:val="24"/>
        </w:rPr>
        <w:t>建议补充：</w:t>
      </w:r>
    </w:p>
    <w:p>
      <w:pPr>
        <w:spacing w:before="0" w:after="40" w:line="360" w:lineRule="auto"/>
        <w:ind w:left="480"/>
      </w:pPr>
      <w:r>
        <w:rPr>
          <w:rFonts w:ascii="Times New Roman" w:hAnsi="Times New Roman" w:eastAsia="宋体"/>
          <w:b w:val="0"/>
          <w:sz w:val="24"/>
        </w:rPr>
        <w:t>项目涉及人员识别、行为分析等个人信息处理活动，双方应严格遵守《个人信息保护法》《数据安全法》《网络安全法》及相关国家标准。乙方应配合甲方完成个人信息保护影响评估（PIPA），并采取相应技术与管理措施确保合规。</w:t>
      </w:r>
    </w:p>
    <w:p>
      <w:pPr>
        <w:spacing w:before="120" w:after="80" w:line="360" w:lineRule="auto"/>
      </w:pPr>
      <w:r>
        <w:rPr>
          <w:rFonts w:ascii="Times New Roman" w:hAnsi="Times New Roman" w:eastAsia="宋体"/>
          <w:b/>
          <w:color w:val="2C3E50"/>
          <w:sz w:val="24"/>
        </w:rPr>
        <w:t>7. 反商业贿赂与反洗钱条款</w:t>
      </w:r>
    </w:p>
    <w:p>
      <w:pPr>
        <w:spacing w:before="40" w:after="40" w:line="360" w:lineRule="auto"/>
      </w:pPr>
      <w:r>
        <w:rPr>
          <w:rFonts w:ascii="Times New Roman" w:hAnsi="Times New Roman" w:eastAsia="宋体"/>
          <w:b/>
          <w:color w:val="2C3E50"/>
          <w:sz w:val="24"/>
        </w:rPr>
        <w:t>建议补充：</w:t>
      </w:r>
    </w:p>
    <w:p>
      <w:pPr>
        <w:spacing w:before="0" w:after="40" w:line="360" w:lineRule="auto"/>
        <w:ind w:left="480"/>
      </w:pPr>
      <w:r>
        <w:rPr>
          <w:rFonts w:ascii="Times New Roman" w:hAnsi="Times New Roman" w:eastAsia="宋体"/>
          <w:b w:val="0"/>
          <w:sz w:val="24"/>
        </w:rPr>
        <w:t>双方承诺严格遵守反商业贿赂、反洗钱法律法规，不得向对方人员或第三方提供、给予任何形式的回扣、贿赂或不当利益。违反本条的一方有权立即解除合同并要求违约方赔偿损失。</w:t>
      </w:r>
    </w:p>
    <w:p>
      <w:pPr>
        <w:spacing w:before="120" w:after="80" w:line="360" w:lineRule="auto"/>
      </w:pPr>
      <w:r>
        <w:rPr>
          <w:rFonts w:ascii="Times New Roman" w:hAnsi="Times New Roman" w:eastAsia="宋体"/>
          <w:b/>
          <w:color w:val="2C3E50"/>
          <w:sz w:val="24"/>
        </w:rPr>
        <w:t>8. 争议解决费用承担条款</w:t>
      </w:r>
    </w:p>
    <w:p>
      <w:pPr>
        <w:spacing w:before="40" w:after="40" w:line="360" w:lineRule="auto"/>
      </w:pPr>
      <w:r>
        <w:rPr>
          <w:rFonts w:ascii="Times New Roman" w:hAnsi="Times New Roman" w:eastAsia="宋体"/>
          <w:b/>
          <w:color w:val="2C3E50"/>
          <w:sz w:val="24"/>
        </w:rPr>
        <w:t>建议补充：</w:t>
      </w:r>
    </w:p>
    <w:p>
      <w:pPr>
        <w:spacing w:before="0" w:after="40" w:line="360" w:lineRule="auto"/>
        <w:ind w:left="480"/>
      </w:pPr>
      <w:r>
        <w:rPr>
          <w:rFonts w:ascii="Times New Roman" w:hAnsi="Times New Roman" w:eastAsia="宋体"/>
          <w:b w:val="0"/>
          <w:sz w:val="24"/>
        </w:rPr>
        <w:t>因诉讼或仲裁产生的合理费用（包括但不限于律师费、差旅费、鉴定费、公证费），由败诉方承担。</w:t>
      </w:r>
    </w:p>
    <w:p>
      <w:r>
        <w:br w:type="page"/>
      </w:r>
    </w:p>
    <w:p>
      <w:pPr>
        <w:spacing w:before="240" w:after="200" w:line="360" w:lineRule="auto"/>
        <w:jc w:val="center"/>
      </w:pPr>
      <w:r>
        <w:rPr>
          <w:rFonts w:ascii="黑体" w:hAnsi="黑体" w:eastAsia="黑体"/>
          <w:b/>
          <w:color w:val="2C3E50"/>
          <w:sz w:val="32"/>
        </w:rPr>
        <w:t>六、综合评分</w:t>
      </w:r>
    </w:p>
    <w:tbl>
      <w:tblPr>
        <w:tblW w:type="auto" w:w="0"/>
        <w:jc w:val="center"/>
        <w:tblLook w:firstColumn="1" w:firstRow="1" w:lastColumn="0" w:lastRow="0" w:noHBand="0" w:noVBand="1" w:val="04A0"/>
      </w:tblPr>
      <w:tblGrid>
        <w:gridCol w:w="4536"/>
        <w:gridCol w:w="4536"/>
      </w:tblGrid>
      <w:tr>
        <w:tc>
          <w:tcPr>
            <w:tcW w:type="dxa" w:w="2268"/>
            <w:tcBorders>
              <w:top w:val="single" w:sz="12" w:color="000000"/>
              <w:left w:val="nil"/>
              <w:bottom w:val="single" w:sz="8" w:color="000000"/>
              <w:right w:val="nil"/>
            </w:tcBorders>
            <w:shd w:val="clear" w:color="auto" w:fill="EAEAEA"/>
          </w:tcPr>
          <w:p>
            <w:r/>
            <w:r>
              <w:rPr>
                <w:rFonts w:ascii="Times New Roman" w:hAnsi="Times New Roman" w:eastAsia="宋体"/>
                <w:b/>
                <w:color w:val="2C3E50"/>
                <w:sz w:val="24"/>
              </w:rPr>
              <w:t>合法性</w:t>
            </w:r>
          </w:p>
        </w:tc>
        <w:tc>
          <w:tcPr>
            <w:tcW w:type="dxa" w:w="6803"/>
            <w:tcBorders>
              <w:top w:val="single" w:sz="12" w:color="000000"/>
              <w:left w:val="nil"/>
              <w:bottom w:val="single" w:sz="8" w:color="000000"/>
              <w:right w:val="nil"/>
            </w:tcBorders>
            <w:shd w:val="clear" w:color="auto" w:fill="EAEAEA"/>
          </w:tcPr>
          <w:p>
            <w:r/>
            <w:r>
              <w:rPr>
                <w:rFonts w:ascii="Times New Roman" w:hAnsi="Times New Roman" w:eastAsia="宋体"/>
                <w:b w:val="0"/>
                <w:sz w:val="24"/>
              </w:rPr>
              <w:t>75 / 100（部分条款排除甲方合法权益，与《民法典》原则存在冲突）</w:t>
            </w:r>
          </w:p>
        </w:tc>
      </w:tr>
      <w:tr>
        <w:tc>
          <w:tcPr>
            <w:tcW w:type="dxa" w:w="2268"/>
            <w:tcBorders>
              <w:top w:val="nil"/>
              <w:left w:val="nil"/>
              <w:bottom w:val="nil"/>
              <w:right w:val="nil"/>
            </w:tcBorders>
          </w:tcPr>
          <w:p>
            <w:r/>
            <w:r>
              <w:rPr>
                <w:rFonts w:ascii="Times New Roman" w:hAnsi="Times New Roman" w:eastAsia="宋体"/>
                <w:b/>
                <w:color w:val="2C3E50"/>
                <w:sz w:val="24"/>
              </w:rPr>
              <w:t>公平性</w:t>
            </w:r>
          </w:p>
        </w:tc>
        <w:tc>
          <w:tcPr>
            <w:tcW w:type="dxa" w:w="6803"/>
            <w:tcBorders>
              <w:top w:val="nil"/>
              <w:left w:val="nil"/>
              <w:bottom w:val="nil"/>
              <w:right w:val="nil"/>
            </w:tcBorders>
          </w:tcPr>
          <w:p>
            <w:r/>
            <w:r>
              <w:rPr>
                <w:rFonts w:ascii="Times New Roman" w:hAnsi="Times New Roman" w:eastAsia="宋体"/>
                <w:b w:val="0"/>
                <w:sz w:val="24"/>
              </w:rPr>
              <w:t>55 / 100（权责不对等明显，知识产权共有、不雇佣条款单方约束、赔偿限制过窄）</w:t>
            </w:r>
          </w:p>
        </w:tc>
      </w:tr>
      <w:tr>
        <w:tc>
          <w:tcPr>
            <w:tcW w:type="dxa" w:w="2268"/>
            <w:tcBorders>
              <w:top w:val="nil"/>
              <w:left w:val="nil"/>
              <w:bottom w:val="nil"/>
              <w:right w:val="nil"/>
            </w:tcBorders>
          </w:tcPr>
          <w:p>
            <w:r/>
            <w:r>
              <w:rPr>
                <w:rFonts w:ascii="Times New Roman" w:hAnsi="Times New Roman" w:eastAsia="宋体"/>
                <w:b/>
                <w:color w:val="2C3E50"/>
                <w:sz w:val="24"/>
              </w:rPr>
              <w:t>完整性</w:t>
            </w:r>
          </w:p>
        </w:tc>
        <w:tc>
          <w:tcPr>
            <w:tcW w:type="dxa" w:w="6803"/>
            <w:tcBorders>
              <w:top w:val="nil"/>
              <w:left w:val="nil"/>
              <w:bottom w:val="nil"/>
              <w:right w:val="nil"/>
            </w:tcBorders>
          </w:tcPr>
          <w:p>
            <w:r/>
            <w:r>
              <w:rPr>
                <w:rFonts w:ascii="Times New Roman" w:hAnsi="Times New Roman" w:eastAsia="宋体"/>
                <w:b w:val="0"/>
                <w:sz w:val="24"/>
              </w:rPr>
              <w:t>60 / 100（缺失履约担保、SLA、数据合规、交付物清单等关键条款）</w:t>
            </w:r>
          </w:p>
        </w:tc>
      </w:tr>
      <w:tr>
        <w:tc>
          <w:tcPr>
            <w:tcW w:type="dxa" w:w="2268"/>
            <w:tcBorders>
              <w:top w:val="nil"/>
              <w:left w:val="nil"/>
              <w:bottom w:val="nil"/>
              <w:right w:val="nil"/>
            </w:tcBorders>
          </w:tcPr>
          <w:p>
            <w:r/>
            <w:r>
              <w:rPr>
                <w:rFonts w:ascii="Times New Roman" w:hAnsi="Times New Roman" w:eastAsia="宋体"/>
                <w:b/>
                <w:color w:val="2C3E50"/>
                <w:sz w:val="24"/>
              </w:rPr>
              <w:t>可操作性</w:t>
            </w:r>
          </w:p>
        </w:tc>
        <w:tc>
          <w:tcPr>
            <w:tcW w:type="dxa" w:w="6803"/>
            <w:tcBorders>
              <w:top w:val="nil"/>
              <w:left w:val="nil"/>
              <w:bottom w:val="nil"/>
              <w:right w:val="nil"/>
            </w:tcBorders>
          </w:tcPr>
          <w:p>
            <w:r/>
            <w:r>
              <w:rPr>
                <w:rFonts w:ascii="Times New Roman" w:hAnsi="Times New Roman" w:eastAsia="宋体"/>
                <w:b w:val="0"/>
                <w:sz w:val="24"/>
              </w:rPr>
              <w:t>65 / 100（验收与变更条款弹性过大，发票 / 维护 / 培训等关键节点未量化）</w:t>
            </w:r>
          </w:p>
        </w:tc>
      </w:tr>
      <w:tr>
        <w:tc>
          <w:tcPr>
            <w:tcW w:type="dxa" w:w="2268"/>
            <w:tcBorders>
              <w:top w:val="nil"/>
              <w:left w:val="nil"/>
              <w:bottom w:val="single" w:sz="12" w:color="000000"/>
              <w:right w:val="nil"/>
            </w:tcBorders>
          </w:tcPr>
          <w:p>
            <w:r/>
            <w:r>
              <w:rPr>
                <w:rFonts w:ascii="Times New Roman" w:hAnsi="Times New Roman" w:eastAsia="宋体"/>
                <w:b/>
                <w:color w:val="2C3E50"/>
                <w:sz w:val="24"/>
              </w:rPr>
              <w:t>综合评分</w:t>
            </w:r>
          </w:p>
        </w:tc>
        <w:tc>
          <w:tcPr>
            <w:tcW w:type="dxa" w:w="6803"/>
            <w:tcBorders>
              <w:top w:val="nil"/>
              <w:left w:val="nil"/>
              <w:bottom w:val="single" w:sz="12" w:color="000000"/>
              <w:right w:val="nil"/>
            </w:tcBorders>
          </w:tcPr>
          <w:p>
            <w:r/>
            <w:r>
              <w:rPr>
                <w:rFonts w:ascii="Times New Roman" w:hAnsi="Times New Roman" w:eastAsia="宋体"/>
                <w:b w:val="0"/>
                <w:sz w:val="24"/>
              </w:rPr>
              <w:t>62 / 100（中下水平，建议实质性修改后再签）</w:t>
            </w:r>
          </w:p>
        </w:tc>
      </w:tr>
    </w:tbl>
    <w:p/>
    <w:p>
      <w:pPr>
        <w:spacing w:before="240" w:after="200" w:line="360" w:lineRule="auto"/>
        <w:jc w:val="center"/>
      </w:pPr>
      <w:r>
        <w:rPr>
          <w:rFonts w:ascii="黑体" w:hAnsi="黑体" w:eastAsia="黑体"/>
          <w:b/>
          <w:color w:val="2C3E50"/>
          <w:sz w:val="32"/>
        </w:rPr>
        <w:t>七、结论建议</w:t>
      </w:r>
    </w:p>
    <w:p>
      <w:pPr>
        <w:spacing w:before="0" w:after="80" w:line="360" w:lineRule="auto"/>
      </w:pPr>
      <w:r>
        <w:rPr>
          <w:rFonts w:ascii="Times New Roman" w:hAnsi="Times New Roman" w:eastAsia="宋体"/>
          <w:b w:val="0"/>
          <w:sz w:val="24"/>
        </w:rPr>
        <w:t>本合同在「知识产权归属」「预付款担保」「维护续约」「不雇佣条款」「赔偿责任限制」「单方解除权」等核心条款上明显倾向于乙方，对甲方权益保护严重不足。AI 类软件项目又涉及数据合规、模型权属、训练数据等特殊风险，合同对此几乎未作安排。建议在签约前与乙方进行以下三方面实质性谈判：</w:t>
      </w:r>
    </w:p>
    <w:p>
      <w:pPr>
        <w:spacing w:before="120" w:after="80" w:line="360" w:lineRule="auto"/>
      </w:pPr>
      <w:r>
        <w:rPr>
          <w:rFonts w:ascii="Times New Roman" w:hAnsi="Times New Roman" w:eastAsia="宋体"/>
          <w:b/>
          <w:color w:val="2C3E50"/>
          <w:sz w:val="24"/>
        </w:rPr>
        <w:t>（一）关键条款修改（必须）</w:t>
      </w:r>
    </w:p>
    <w:p>
      <w:pPr>
        <w:spacing w:before="0" w:after="80" w:line="360" w:lineRule="auto"/>
      </w:pPr>
      <w:r>
        <w:rPr>
          <w:rFonts w:ascii="Times New Roman" w:hAnsi="Times New Roman" w:eastAsia="宋体"/>
          <w:b w:val="0"/>
          <w:sz w:val="24"/>
        </w:rPr>
        <w:t>知识产权改为甲方单独所有；预付款降至 30% 并要求乙方提交银行履约保函；删除单方约束甲方的不雇佣条款或改为对等条款；删除/收窄「赔偿仅以直接损失为限」的全免责条款；增加根本性违约的快速解除权。</w:t>
      </w:r>
    </w:p>
    <w:p>
      <w:pPr>
        <w:spacing w:before="120" w:after="80" w:line="360" w:lineRule="auto"/>
      </w:pPr>
      <w:r>
        <w:rPr>
          <w:rFonts w:ascii="Times New Roman" w:hAnsi="Times New Roman" w:eastAsia="宋体"/>
          <w:b/>
          <w:color w:val="2C3E50"/>
          <w:sz w:val="24"/>
        </w:rPr>
        <w:t>（二）必备条款补充（强烈建议）</w:t>
      </w:r>
    </w:p>
    <w:p>
      <w:pPr>
        <w:spacing w:before="0" w:after="80" w:line="360" w:lineRule="auto"/>
      </w:pPr>
      <w:r>
        <w:rPr>
          <w:rFonts w:ascii="Times New Roman" w:hAnsi="Times New Roman" w:eastAsia="宋体"/>
          <w:b w:val="0"/>
          <w:sz w:val="24"/>
        </w:rPr>
        <w:t>履约担保、SLA 与性能保证、交付物清单、数据所有权、个人信息保护、反商业贿赂、争议解决费用承担。</w:t>
      </w:r>
    </w:p>
    <w:p>
      <w:pPr>
        <w:spacing w:before="120" w:after="80" w:line="360" w:lineRule="auto"/>
      </w:pPr>
      <w:r>
        <w:rPr>
          <w:rFonts w:ascii="Times New Roman" w:hAnsi="Times New Roman" w:eastAsia="宋体"/>
          <w:b/>
          <w:color w:val="2C3E50"/>
          <w:sz w:val="24"/>
        </w:rPr>
        <w:t>（三）签约前尽调（不可省略）</w:t>
      </w:r>
    </w:p>
    <w:p>
      <w:pPr>
        <w:spacing w:before="0" w:after="80" w:line="360" w:lineRule="auto"/>
      </w:pPr>
      <w:r>
        <w:rPr>
          <w:rFonts w:ascii="Times New Roman" w:hAnsi="Times New Roman" w:eastAsia="宋体"/>
          <w:b w:val="0"/>
          <w:sz w:val="24"/>
        </w:rPr>
        <w:t>通过国家企业信用信息公示系统、企查查等核查双方真实工商信息、乙方工业 AI 项目业绩、乙方近三年是否有重大行政处罚或司法风险；并核对合同中的占位字段（「AA 区 BB 路」「1565468475」等）已替换为真实信息。</w:t>
      </w:r>
    </w:p>
    <w:p/>
    <w:p>
      <w:pPr>
        <w:spacing w:before="200" w:after="120" w:line="360" w:lineRule="auto"/>
      </w:pPr>
      <w:r>
        <w:rPr>
          <w:rFonts w:ascii="黑体" w:hAnsi="黑体" w:eastAsia="黑体"/>
          <w:b/>
          <w:color w:val="2C3E50"/>
          <w:sz w:val="28"/>
        </w:rPr>
        <w:t>免责声明</w:t>
      </w:r>
    </w:p>
    <w:p>
      <w:pPr>
        <w:spacing w:before="0" w:after="80" w:line="360" w:lineRule="auto"/>
      </w:pPr>
      <w:r>
        <w:rPr>
          <w:rFonts w:ascii="Times New Roman" w:hAnsi="Times New Roman" w:eastAsia="宋体"/>
          <w:b w:val="0"/>
          <w:color w:val="7F8C8D"/>
          <w:sz w:val="22"/>
        </w:rPr>
        <w:t>本审查意见仅供参考，不构成具有法律约束力的专业法律意见。对于涉及重大权利、义务或决策的事务，建议您咨询具备相应资质的专业律师进行最终判断。</w:t>
      </w:r>
    </w:p>
    <w:sectPr w:rsidR="00FC693F" w:rsidRPr="0006063C" w:rsidSect="00034616">
      <w:footerReference w:type="default" r:id="rId9"/>
      <w:pgSz w:w="11906" w:h="16838"/>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Times New Roman" w:hAnsi="Times New Roman" w:eastAsia="宋体"/>
        <w:b w:val="0"/>
        <w:color w:val="7F8C8D"/>
        <w:sz w:val="18"/>
      </w:rPr>
      <w:t xml:space="preserve">第 </w:t>
      <w:fldChar w:fldCharType="begin"/>
      <w:instrText xml:space="preserve">PAGE</w:instrText>
      <w:fldChar w:fldCharType="separate"/>
      <w:fldChar w:fldCharType="end"/>
    </w:r>
    <w:r>
      <w:rPr>
        <w:rFonts w:ascii="Times New Roman" w:hAnsi="Times New Roman" w:eastAsia="宋体"/>
        <w:b w:val="0"/>
        <w:color w:val="7F8C8D"/>
        <w:sz w:val="18"/>
      </w:rPr>
      <w:t xml:space="preserve"> 页 / 共 </w:t>
      <w:fldChar w:fldCharType="begin"/>
      <w:instrText xml:space="preserve">NUMPAGES</w:instrText>
      <w:fldChar w:fldCharType="separate"/>
      <w:fldChar w:fldCharType="end"/>
    </w:r>
    <w:r>
      <w:rPr>
        <w:rFonts w:ascii="Times New Roman" w:hAnsi="Times New Roman" w:eastAsia="宋体"/>
        <w:b w:val="0"/>
        <w:color w:val="7F8C8D"/>
        <w:sz w:val="18"/>
      </w:rPr>
      <w:t xml:space="preserve"> 页   |   本报告仅供参考，不构成具有法律约束力的专业意见</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eastAsia="宋体"/>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