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2400"/>
      </w:pPr>
      <w:r>
        <w:rPr>
          <w:rFonts w:ascii="微软雅黑" w:hAnsi="微软雅黑" w:eastAsia="微软雅黑"/>
          <w:b/>
          <w:color w:val="1565C0"/>
          <w:sz w:val="28"/>
        </w:rPr>
        <w:t>数据分析报告 · BUSINESS ANALYTICS</w:t>
      </w:r>
    </w:p>
    <w:p>
      <w:pPr>
        <w:spacing w:before="480"/>
      </w:pPr>
      <w:r>
        <w:rPr>
          <w:rFonts w:ascii="微软雅黑" w:hAnsi="微软雅黑" w:eastAsia="微软雅黑"/>
          <w:b/>
          <w:color w:val="1565C0"/>
          <w:sz w:val="56"/>
        </w:rPr>
        <w:t>销售分析报告</w:t>
      </w:r>
    </w:p>
    <w:p>
      <w:pPr>
        <w:spacing w:before="160"/>
      </w:pPr>
      <w:r>
        <w:rPr>
          <w:rFonts w:ascii="微软雅黑" w:hAnsi="微软雅黑" w:eastAsia="微软雅黑"/>
          <w:color w:val="616161"/>
          <w:sz w:val="36"/>
        </w:rPr>
        <w:t>2025 年 1—7 月多维度诊断与优化方案</w:t>
      </w:r>
    </w:p>
    <w:p>
      <w:pPr>
        <w:spacing w:before="1600"/>
      </w:pPr>
      <w:r>
        <w:rPr>
          <w:rFonts w:ascii="微软雅黑" w:hAnsi="微软雅黑" w:eastAsia="微软雅黑"/>
          <w:color w:val="616161"/>
          <w:sz w:val="18"/>
        </w:rPr>
        <w:t>数据来源：销售数据.xlsx（200 条订单）</w:t>
      </w:r>
    </w:p>
    <w:p>
      <w:r>
        <w:rPr>
          <w:rFonts w:ascii="微软雅黑" w:hAnsi="微软雅黑" w:eastAsia="微软雅黑"/>
          <w:color w:val="616161"/>
          <w:sz w:val="18"/>
        </w:rPr>
        <w:t>报告日期：2026 年 9 月 · 版本：V1.0</w:t>
      </w:r>
    </w:p>
    <w:p>
      <w:r>
        <w:br w:type="page"/>
      </w:r>
    </w:p>
    <w:p>
      <w:pPr>
        <w:spacing w:before="360" w:after="160"/>
        <w:pBdr>
          <w:left w:val="single" w:sz="24" w:space="4" w:color="1565C0"/>
        </w:pBdr>
      </w:pPr>
      <w:r>
        <w:rPr>
          <w:rFonts w:ascii="微软雅黑" w:hAnsi="微软雅黑" w:eastAsia="微软雅黑"/>
          <w:b/>
          <w:color w:val="1A237E"/>
          <w:sz w:val="28"/>
        </w:rPr>
        <w:t>目  录</w:t>
      </w:r>
    </w:p>
    <w:p>
      <w:pPr>
        <w:spacing w:after="40"/>
        <w:ind w:left="283"/>
      </w:pPr>
      <w:r>
        <w:rPr>
          <w:rFonts w:ascii="微软雅黑" w:hAnsi="微软雅黑" w:eastAsia="微软雅黑"/>
          <w:color w:val="212121"/>
          <w:sz w:val="18"/>
        </w:rPr>
        <w:t>一、执行摘要</w:t>
      </w:r>
    </w:p>
    <w:p>
      <w:pPr>
        <w:spacing w:after="40"/>
        <w:ind w:left="283"/>
      </w:pPr>
      <w:r>
        <w:rPr>
          <w:rFonts w:ascii="微软雅黑" w:hAnsi="微软雅黑" w:eastAsia="微软雅黑"/>
          <w:color w:val="212121"/>
          <w:sz w:val="18"/>
        </w:rPr>
        <w:t>二、数据概览</w:t>
      </w:r>
    </w:p>
    <w:p>
      <w:pPr>
        <w:spacing w:after="40"/>
        <w:ind w:left="283"/>
      </w:pPr>
      <w:r>
        <w:rPr>
          <w:rFonts w:ascii="微软雅黑" w:hAnsi="微软雅黑" w:eastAsia="微软雅黑"/>
          <w:color w:val="212121"/>
          <w:sz w:val="18"/>
        </w:rPr>
        <w:t xml:space="preserve">  2.1 数据范围与字段</w:t>
      </w:r>
    </w:p>
    <w:p>
      <w:pPr>
        <w:spacing w:after="40"/>
        <w:ind w:left="283"/>
      </w:pPr>
      <w:r>
        <w:rPr>
          <w:rFonts w:ascii="微软雅黑" w:hAnsi="微软雅黑" w:eastAsia="微软雅黑"/>
          <w:color w:val="212121"/>
          <w:sz w:val="18"/>
        </w:rPr>
        <w:t xml:space="preserve">  2.2 数据质量提示</w:t>
      </w:r>
    </w:p>
    <w:p>
      <w:pPr>
        <w:spacing w:after="40"/>
        <w:ind w:left="283"/>
      </w:pPr>
      <w:r>
        <w:rPr>
          <w:rFonts w:ascii="微软雅黑" w:hAnsi="微软雅黑" w:eastAsia="微软雅黑"/>
          <w:color w:val="212121"/>
          <w:sz w:val="18"/>
        </w:rPr>
        <w:t>三、多维度分析</w:t>
      </w:r>
    </w:p>
    <w:p>
      <w:pPr>
        <w:spacing w:after="40"/>
        <w:ind w:left="283"/>
      </w:pPr>
      <w:r>
        <w:rPr>
          <w:rFonts w:ascii="微软雅黑" w:hAnsi="微软雅黑" w:eastAsia="微软雅黑"/>
          <w:color w:val="212121"/>
          <w:sz w:val="18"/>
        </w:rPr>
        <w:t xml:space="preserve">  3.1 时间维度：月度趋势</w:t>
      </w:r>
    </w:p>
    <w:p>
      <w:pPr>
        <w:spacing w:after="40"/>
        <w:ind w:left="283"/>
      </w:pPr>
      <w:r>
        <w:rPr>
          <w:rFonts w:ascii="微软雅黑" w:hAnsi="微软雅黑" w:eastAsia="微软雅黑"/>
          <w:color w:val="212121"/>
          <w:sz w:val="18"/>
        </w:rPr>
        <w:t xml:space="preserve">  3.2 地区维度</w:t>
      </w:r>
    </w:p>
    <w:p>
      <w:pPr>
        <w:spacing w:after="40"/>
        <w:ind w:left="283"/>
      </w:pPr>
      <w:r>
        <w:rPr>
          <w:rFonts w:ascii="微软雅黑" w:hAnsi="微软雅黑" w:eastAsia="微软雅黑"/>
          <w:color w:val="212121"/>
          <w:sz w:val="18"/>
        </w:rPr>
        <w:t xml:space="preserve">  3.3 产品维度</w:t>
      </w:r>
    </w:p>
    <w:p>
      <w:pPr>
        <w:spacing w:after="40"/>
        <w:ind w:left="283"/>
      </w:pPr>
      <w:r>
        <w:rPr>
          <w:rFonts w:ascii="微软雅黑" w:hAnsi="微软雅黑" w:eastAsia="微软雅黑"/>
          <w:color w:val="212121"/>
          <w:sz w:val="18"/>
        </w:rPr>
        <w:t xml:space="preserve">  3.4 交叉分析：地区 × 产品</w:t>
      </w:r>
    </w:p>
    <w:p>
      <w:pPr>
        <w:spacing w:after="40"/>
        <w:ind w:left="283"/>
      </w:pPr>
      <w:r>
        <w:rPr>
          <w:rFonts w:ascii="微软雅黑" w:hAnsi="微软雅黑" w:eastAsia="微软雅黑"/>
          <w:color w:val="212121"/>
          <w:sz w:val="18"/>
        </w:rPr>
        <w:t xml:space="preserve">  3.5 客单价分布</w:t>
      </w:r>
    </w:p>
    <w:p>
      <w:pPr>
        <w:spacing w:after="40"/>
        <w:ind w:left="283"/>
      </w:pPr>
      <w:r>
        <w:rPr>
          <w:rFonts w:ascii="微软雅黑" w:hAnsi="微软雅黑" w:eastAsia="微软雅黑"/>
          <w:color w:val="212121"/>
          <w:sz w:val="18"/>
        </w:rPr>
        <w:t xml:space="preserve">  3.6 周内分布</w:t>
      </w:r>
    </w:p>
    <w:p>
      <w:pPr>
        <w:spacing w:after="40"/>
        <w:ind w:left="283"/>
      </w:pPr>
      <w:r>
        <w:rPr>
          <w:rFonts w:ascii="微软雅黑" w:hAnsi="微软雅黑" w:eastAsia="微软雅黑"/>
          <w:color w:val="212121"/>
          <w:sz w:val="18"/>
        </w:rPr>
        <w:t>四、关键问题诊断（TOP 7）</w:t>
      </w:r>
    </w:p>
    <w:p>
      <w:pPr>
        <w:spacing w:after="40"/>
        <w:ind w:left="283"/>
      </w:pPr>
      <w:r>
        <w:rPr>
          <w:rFonts w:ascii="微软雅黑" w:hAnsi="微软雅黑" w:eastAsia="微软雅黑"/>
          <w:color w:val="212121"/>
          <w:sz w:val="18"/>
        </w:rPr>
        <w:t>五、优化方案</w:t>
      </w:r>
    </w:p>
    <w:p>
      <w:pPr>
        <w:spacing w:after="40"/>
        <w:ind w:left="283"/>
      </w:pPr>
      <w:r>
        <w:rPr>
          <w:rFonts w:ascii="微软雅黑" w:hAnsi="微软雅黑" w:eastAsia="微软雅黑"/>
          <w:color w:val="212121"/>
          <w:sz w:val="18"/>
        </w:rPr>
        <w:t>六、实施计划</w:t>
      </w:r>
    </w:p>
    <w:p>
      <w:pPr>
        <w:spacing w:after="40"/>
        <w:ind w:left="283"/>
      </w:pPr>
      <w:r>
        <w:rPr>
          <w:rFonts w:ascii="微软雅黑" w:hAnsi="微软雅黑" w:eastAsia="微软雅黑"/>
          <w:color w:val="212121"/>
          <w:sz w:val="18"/>
        </w:rPr>
        <w:t>七、附录</w:t>
      </w:r>
    </w:p>
    <w:p>
      <w:r>
        <w:br w:type="page"/>
      </w:r>
    </w:p>
    <w:p>
      <w:pPr>
        <w:spacing w:before="360" w:after="160"/>
        <w:pBdr>
          <w:left w:val="single" w:sz="24" w:space="4" w:color="1565C0"/>
        </w:pBdr>
      </w:pPr>
      <w:r>
        <w:rPr>
          <w:rFonts w:ascii="微软雅黑" w:hAnsi="微软雅黑" w:eastAsia="微软雅黑"/>
          <w:b/>
          <w:color w:val="1A237E"/>
          <w:sz w:val="28"/>
        </w:rPr>
        <w:t>一、执行摘要（TL;DR）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  <w:shd w:fill="F5F7FA" w:val="clear"/>
          </w:tcPr>
          <w:p>
            <w:pPr>
              <w:jc w:val="center"/>
            </w:pPr>
            <w:r/>
            <w:r>
              <w:rPr>
                <w:rFonts w:ascii="微软雅黑" w:hAnsi="微软雅黑" w:eastAsia="微软雅黑"/>
                <w:color w:val="616161"/>
                <w:sz w:val="16"/>
              </w:rPr>
              <w:t>销售总额</w:t>
            </w:r>
          </w:p>
        </w:tc>
        <w:tc>
          <w:tcPr>
            <w:tcW w:type="dxa" w:w="2268"/>
            <w:shd w:fill="F5F7FA" w:val="clear"/>
          </w:tcPr>
          <w:p>
            <w:pPr>
              <w:jc w:val="center"/>
            </w:pPr>
            <w:r/>
            <w:r>
              <w:rPr>
                <w:rFonts w:ascii="微软雅黑" w:hAnsi="微软雅黑" w:eastAsia="微软雅黑"/>
                <w:color w:val="616161"/>
                <w:sz w:val="16"/>
              </w:rPr>
              <w:t>销售毛利</w:t>
            </w:r>
          </w:p>
        </w:tc>
        <w:tc>
          <w:tcPr>
            <w:tcW w:type="dxa" w:w="2268"/>
            <w:shd w:fill="F5F7FA" w:val="clear"/>
          </w:tcPr>
          <w:p>
            <w:pPr>
              <w:jc w:val="center"/>
            </w:pPr>
            <w:r/>
            <w:r>
              <w:rPr>
                <w:rFonts w:ascii="微软雅黑" w:hAnsi="微软雅黑" w:eastAsia="微软雅黑"/>
                <w:color w:val="616161"/>
                <w:sz w:val="16"/>
              </w:rPr>
              <w:t>销售总量</w:t>
            </w:r>
          </w:p>
        </w:tc>
        <w:tc>
          <w:tcPr>
            <w:tcW w:type="dxa" w:w="2268"/>
            <w:shd w:fill="F5F7FA" w:val="clear"/>
          </w:tcPr>
          <w:p>
            <w:pPr>
              <w:jc w:val="center"/>
            </w:pPr>
            <w:r/>
            <w:r>
              <w:rPr>
                <w:rFonts w:ascii="微软雅黑" w:hAnsi="微软雅黑" w:eastAsia="微软雅黑"/>
                <w:color w:val="616161"/>
                <w:sz w:val="16"/>
              </w:rPr>
              <w:t>平均订单金额</w:t>
            </w:r>
          </w:p>
        </w:tc>
      </w:tr>
      <w:tr>
        <w:tc>
          <w:tcPr>
            <w:tcW w:type="dxa" w:w="2268"/>
          </w:tcPr>
          <w:p>
            <w:pPr>
              <w:spacing w:after="40"/>
              <w:jc w:val="center"/>
            </w:pPr>
            <w:r/>
            <w:r>
              <w:rPr>
                <w:rFonts w:ascii="微软雅黑" w:hAnsi="微软雅黑" w:eastAsia="微软雅黑"/>
                <w:b/>
                <w:color w:val="1565C0"/>
                <w:sz w:val="36"/>
              </w:rPr>
              <w:t>98.16 万</w:t>
            </w:r>
          </w:p>
          <w:p>
            <w:pPr>
              <w:spacing w:before="0"/>
              <w:jc w:val="center"/>
            </w:pPr>
            <w:r>
              <w:rPr>
                <w:rFonts w:ascii="微软雅黑" w:hAnsi="微软雅黑" w:eastAsia="微软雅黑"/>
                <w:color w:val="616161"/>
                <w:sz w:val="14"/>
              </w:rPr>
              <w:t>200 笔订单</w:t>
            </w:r>
          </w:p>
        </w:tc>
        <w:tc>
          <w:tcPr>
            <w:tcW w:type="dxa" w:w="2268"/>
          </w:tcPr>
          <w:p>
            <w:pPr>
              <w:spacing w:after="40"/>
              <w:jc w:val="center"/>
            </w:pPr>
            <w:r/>
            <w:r>
              <w:rPr>
                <w:rFonts w:ascii="微软雅黑" w:hAnsi="微软雅黑" w:eastAsia="微软雅黑"/>
                <w:b/>
                <w:color w:val="00897B"/>
                <w:sz w:val="36"/>
              </w:rPr>
              <w:t>40.96 万</w:t>
            </w:r>
          </w:p>
          <w:p>
            <w:pPr>
              <w:spacing w:before="0"/>
              <w:jc w:val="center"/>
            </w:pPr>
            <w:r>
              <w:rPr>
                <w:rFonts w:ascii="微软雅黑" w:hAnsi="微软雅黑" w:eastAsia="微软雅黑"/>
                <w:color w:val="616161"/>
                <w:sz w:val="14"/>
              </w:rPr>
              <w:t>毛利率 41.7%</w:t>
            </w:r>
          </w:p>
        </w:tc>
        <w:tc>
          <w:tcPr>
            <w:tcW w:type="dxa" w:w="2268"/>
          </w:tcPr>
          <w:p>
            <w:pPr>
              <w:spacing w:after="40"/>
              <w:jc w:val="center"/>
            </w:pPr>
            <w:r/>
            <w:r>
              <w:rPr>
                <w:rFonts w:ascii="微软雅黑" w:hAnsi="微软雅黑" w:eastAsia="微软雅黑"/>
                <w:b/>
                <w:color w:val="F9A825"/>
                <w:sz w:val="36"/>
              </w:rPr>
              <w:t>19,173 件</w:t>
            </w:r>
          </w:p>
          <w:p>
            <w:pPr>
              <w:spacing w:before="0"/>
              <w:jc w:val="center"/>
            </w:pPr>
            <w:r>
              <w:rPr>
                <w:rFonts w:ascii="微软雅黑" w:hAnsi="微软雅黑" w:eastAsia="微软雅黑"/>
                <w:color w:val="616161"/>
                <w:sz w:val="14"/>
              </w:rPr>
              <w:t>件均价 51.22 元</w:t>
            </w:r>
          </w:p>
        </w:tc>
        <w:tc>
          <w:tcPr>
            <w:tcW w:type="dxa" w:w="2268"/>
          </w:tcPr>
          <w:p>
            <w:pPr>
              <w:spacing w:after="40"/>
              <w:jc w:val="center"/>
            </w:pPr>
            <w:r/>
            <w:r>
              <w:rPr>
                <w:rFonts w:ascii="微软雅黑" w:hAnsi="微软雅黑" w:eastAsia="微软雅黑"/>
                <w:b/>
                <w:color w:val="E53935"/>
                <w:sz w:val="36"/>
              </w:rPr>
              <w:t>4,908 元</w:t>
            </w:r>
          </w:p>
          <w:p>
            <w:pPr>
              <w:spacing w:before="0"/>
              <w:jc w:val="center"/>
            </w:pPr>
            <w:r>
              <w:rPr>
                <w:rFonts w:ascii="微软雅黑" w:hAnsi="微软雅黑" w:eastAsia="微软雅黑"/>
                <w:color w:val="616161"/>
                <w:sz w:val="14"/>
              </w:rPr>
              <w:t>月均 14.0 万</w:t>
            </w:r>
          </w:p>
        </w:tc>
      </w:tr>
    </w:tbl>
    <w:p>
      <w:pPr>
        <w:spacing w:after="120" w:before="0"/>
      </w:pPr>
    </w:p>
    <w:p>
      <w:pPr>
        <w:spacing w:after="120" w:before="0"/>
      </w:pPr>
      <w:r>
        <w:rPr>
          <w:rFonts w:ascii="微软雅黑" w:hAnsi="微软雅黑" w:eastAsia="微软雅黑"/>
          <w:b/>
          <w:color w:val="1A237E"/>
          <w:sz w:val="18"/>
        </w:rPr>
        <w:t>三个核心结论：</w:t>
      </w:r>
    </w:p>
    <w:p>
      <w:pPr>
        <w:spacing w:after="120" w:before="0"/>
      </w:pPr>
      <w:r>
        <w:rPr>
          <w:rFonts w:ascii="微软雅黑" w:hAnsi="微软雅黑" w:eastAsia="微软雅黑"/>
          <w:b w:val="0"/>
          <w:color w:val="212121"/>
          <w:sz w:val="18"/>
        </w:rPr>
        <w:t>1. 3 月达峰后动能衰减：月度销售额在 3 月达到 16.70 万元峰值后，4—6 月连续三个月环比下滑（-7.3% / -4.7% / -3.3%），截至 7 月 19 日仅录得 8.76 万元。</w:t>
      </w:r>
    </w:p>
    <w:p>
      <w:pPr>
        <w:spacing w:after="120" w:before="0"/>
      </w:pPr>
      <w:r>
        <w:rPr>
          <w:rFonts w:ascii="微软雅黑" w:hAnsi="微软雅黑" w:eastAsia="微软雅黑"/>
          <w:b w:val="0"/>
          <w:color w:val="212121"/>
          <w:sz w:val="18"/>
        </w:rPr>
        <w:t>2. 主力产品 D 失速拖累全局：产品 D 占总销售额 34.2%，但 4 月环比下滑 40.4%，是整体下行的最大单一成因；产品 C 毛利率最低（38.7%）但销售额仅排第三，性价比差。</w:t>
      </w:r>
    </w:p>
    <w:p>
      <w:pPr>
        <w:spacing w:after="120" w:before="0"/>
      </w:pPr>
      <w:r>
        <w:rPr>
          <w:rFonts w:ascii="微软雅黑" w:hAnsi="微软雅黑" w:eastAsia="微软雅黑"/>
          <w:b w:val="0"/>
          <w:color w:val="212121"/>
          <w:sz w:val="18"/>
        </w:rPr>
        <w:t>3. 区域结构存在结构性失衡：华东贡献第二高销售额，但毛利率仅 38.9%（最低）；西北过度依赖产品 B（占 35%），抗风险能力弱。</w:t>
      </w:r>
    </w:p>
    <w:p>
      <w:r>
        <w:br w:type="page"/>
      </w:r>
    </w:p>
    <w:p>
      <w:pPr>
        <w:spacing w:before="360" w:after="160"/>
        <w:pBdr>
          <w:left w:val="single" w:sz="24" w:space="4" w:color="1565C0"/>
        </w:pBdr>
      </w:pPr>
      <w:r>
        <w:rPr>
          <w:rFonts w:ascii="微软雅黑" w:hAnsi="微软雅黑" w:eastAsia="微软雅黑"/>
          <w:b/>
          <w:color w:val="1A237E"/>
          <w:sz w:val="28"/>
        </w:rPr>
        <w:t>二、数据概览</w:t>
      </w:r>
    </w:p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2.1 数据范围与字段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536"/>
        <w:gridCol w:w="4536"/>
      </w:tblGrid>
      <w:tr>
        <w:tc>
          <w:tcPr>
            <w:tcW w:type="dxa" w:w="2268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项目</w:t>
            </w:r>
          </w:p>
        </w:tc>
        <w:tc>
          <w:tcPr>
            <w:tcW w:type="dxa" w:w="6803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说明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数据周期</w:t>
            </w:r>
          </w:p>
        </w:tc>
        <w:tc>
          <w:tcPr>
            <w:tcW w:type="dxa" w:w="6803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2025-01-01 ~ 2025-07-19（共 200 天记录）</w:t>
            </w:r>
          </w:p>
        </w:tc>
      </w:tr>
      <w:tr>
        <w:tc>
          <w:tcPr>
            <w:tcW w:type="dxa" w:w="2268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记录数</w:t>
            </w:r>
          </w:p>
        </w:tc>
        <w:tc>
          <w:tcPr>
            <w:tcW w:type="dxa" w:w="6803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200 条销售订单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字段</w:t>
            </w:r>
          </w:p>
        </w:tc>
        <w:tc>
          <w:tcPr>
            <w:tcW w:type="dxa" w:w="6803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日期、地区、产品、销售额、数量、成本、利润</w:t>
            </w:r>
          </w:p>
        </w:tc>
      </w:tr>
      <w:tr>
        <w:tc>
          <w:tcPr>
            <w:tcW w:type="dxa" w:w="2268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涉及维度</w:t>
            </w:r>
          </w:p>
        </w:tc>
        <w:tc>
          <w:tcPr>
            <w:tcW w:type="dxa" w:w="6803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5 个地区（华北/华东/华南/西北/西南）、4 个产品（产品 A/B/C/D）</w:t>
            </w:r>
          </w:p>
        </w:tc>
      </w:tr>
    </w:tbl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2.2 数据质量提示</w:t>
      </w:r>
    </w:p>
    <w:p>
      <w:pPr>
        <w:spacing w:after="120" w:before="0"/>
        <w:shd w:fill="E3F2FD" w:val="clear"/>
      </w:pPr>
      <w:r>
        <w:rPr>
          <w:rFonts w:ascii="微软雅黑" w:hAnsi="微软雅黑" w:eastAsia="微软雅黑"/>
          <w:b w:val="0"/>
          <w:color w:val="212121"/>
          <w:sz w:val="18"/>
        </w:rPr>
        <w:t>数据完整性：成本/利润缺失 16 行（缺失率 8.0%），集中在西南、华东的 1—3 月；客单价跨度较大（7.08 ~ 772.05 元/件）；本报告毛利率与利润分析以成本/利润完整的 184 笔订单为基准。</w:t>
      </w:r>
    </w:p>
    <w:p>
      <w:r>
        <w:br w:type="page"/>
      </w:r>
    </w:p>
    <w:p>
      <w:pPr>
        <w:spacing w:before="360" w:after="160"/>
        <w:pBdr>
          <w:left w:val="single" w:sz="24" w:space="4" w:color="1565C0"/>
        </w:pBdr>
      </w:pPr>
      <w:r>
        <w:rPr>
          <w:rFonts w:ascii="微软雅黑" w:hAnsi="微软雅黑" w:eastAsia="微软雅黑"/>
          <w:b/>
          <w:color w:val="1A237E"/>
          <w:sz w:val="28"/>
        </w:rPr>
        <w:t>三、多维度分析</w:t>
      </w:r>
    </w:p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3.1 时间维度：月度趋势</w:t>
      </w:r>
    </w:p>
    <w:p>
      <w:pPr>
        <w:spacing w:after="120" w:before="0"/>
      </w:pPr>
      <w:r>
        <w:rPr>
          <w:rFonts w:ascii="微软雅黑" w:hAnsi="微软雅黑" w:eastAsia="微软雅黑"/>
          <w:b w:val="0"/>
          <w:color w:val="212121"/>
          <w:sz w:val="18"/>
        </w:rPr>
        <w:t>3 月达到全年峰值 16.70 万元，4 月起进入连续下滑通道。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296"/>
        <w:gridCol w:w="1296"/>
        <w:gridCol w:w="1296"/>
        <w:gridCol w:w="1296"/>
        <w:gridCol w:w="1296"/>
        <w:gridCol w:w="1296"/>
        <w:gridCol w:w="1296"/>
      </w:tblGrid>
      <w:tr>
        <w:tc>
          <w:tcPr>
            <w:tcW w:type="dxa" w:w="113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月份</w:t>
            </w:r>
          </w:p>
        </w:tc>
        <w:tc>
          <w:tcPr>
            <w:tcW w:type="dxa" w:w="90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订单数</w:t>
            </w:r>
          </w:p>
        </w:tc>
        <w:tc>
          <w:tcPr>
            <w:tcW w:type="dxa" w:w="1361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销售额（万元）</w:t>
            </w:r>
          </w:p>
        </w:tc>
        <w:tc>
          <w:tcPr>
            <w:tcW w:type="dxa" w:w="90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环比</w:t>
            </w:r>
          </w:p>
        </w:tc>
        <w:tc>
          <w:tcPr>
            <w:tcW w:type="dxa" w:w="113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销量（件）</w:t>
            </w:r>
          </w:p>
        </w:tc>
        <w:tc>
          <w:tcPr>
            <w:tcW w:type="dxa" w:w="124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利润（万元）</w:t>
            </w:r>
          </w:p>
        </w:tc>
        <w:tc>
          <w:tcPr>
            <w:tcW w:type="dxa" w:w="1020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毛利率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2025-01</w:t>
            </w:r>
          </w:p>
        </w:tc>
        <w:tc>
          <w:tcPr>
            <w:tcW w:type="dxa" w:w="90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31</w:t>
            </w:r>
          </w:p>
        </w:tc>
        <w:tc>
          <w:tcPr>
            <w:tcW w:type="dxa" w:w="136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14.57</w:t>
            </w:r>
          </w:p>
        </w:tc>
        <w:tc>
          <w:tcPr>
            <w:tcW w:type="dxa" w:w="90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—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2,923</w:t>
            </w:r>
          </w:p>
        </w:tc>
        <w:tc>
          <w:tcPr>
            <w:tcW w:type="dxa" w:w="124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6.04</w:t>
            </w:r>
          </w:p>
        </w:tc>
        <w:tc>
          <w:tcPr>
            <w:tcW w:type="dxa" w:w="102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41.5%</w:t>
            </w:r>
          </w:p>
        </w:tc>
      </w:tr>
      <w:tr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2025-02</w:t>
            </w:r>
          </w:p>
        </w:tc>
        <w:tc>
          <w:tcPr>
            <w:tcW w:type="dxa" w:w="90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28</w:t>
            </w:r>
          </w:p>
        </w:tc>
        <w:tc>
          <w:tcPr>
            <w:tcW w:type="dxa" w:w="136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13.61</w:t>
            </w:r>
          </w:p>
        </w:tc>
        <w:tc>
          <w:tcPr>
            <w:tcW w:type="dxa" w:w="90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-6.6%</w:t>
            </w:r>
          </w:p>
        </w:tc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2,892</w:t>
            </w:r>
          </w:p>
        </w:tc>
        <w:tc>
          <w:tcPr>
            <w:tcW w:type="dxa" w:w="124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5.86</w:t>
            </w:r>
          </w:p>
        </w:tc>
        <w:tc>
          <w:tcPr>
            <w:tcW w:type="dxa" w:w="102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43.0%</w:t>
            </w:r>
          </w:p>
        </w:tc>
      </w:tr>
      <w:tr>
        <w:tc>
          <w:tcPr>
            <w:tcW w:type="dxa" w:w="1134"/>
            <w:shd w:fill="E3F2FD" w:val="clear"/>
          </w:tcPr>
          <w:p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color w:val="212121"/>
                <w:sz w:val="16"/>
              </w:rPr>
              <w:t>2025-03</w:t>
            </w:r>
          </w:p>
        </w:tc>
        <w:tc>
          <w:tcPr>
            <w:tcW w:type="dxa" w:w="907"/>
            <w:shd w:fill="E3F2FD" w:val="clear"/>
          </w:tcPr>
          <w:p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color w:val="212121"/>
                <w:sz w:val="16"/>
              </w:rPr>
              <w:t>31</w:t>
            </w:r>
          </w:p>
        </w:tc>
        <w:tc>
          <w:tcPr>
            <w:tcW w:type="dxa" w:w="1361"/>
            <w:shd w:fill="E3F2FD" w:val="clear"/>
          </w:tcPr>
          <w:p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color w:val="212121"/>
                <w:sz w:val="16"/>
              </w:rPr>
              <w:t>16.70</w:t>
            </w:r>
          </w:p>
        </w:tc>
        <w:tc>
          <w:tcPr>
            <w:tcW w:type="dxa" w:w="907"/>
            <w:shd w:fill="E3F2FD" w:val="clear"/>
          </w:tcPr>
          <w:p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color w:val="212121"/>
                <w:sz w:val="16"/>
              </w:rPr>
              <w:t>+22.7%</w:t>
            </w:r>
          </w:p>
        </w:tc>
        <w:tc>
          <w:tcPr>
            <w:tcW w:type="dxa" w:w="1134"/>
            <w:shd w:fill="E3F2FD" w:val="clear"/>
          </w:tcPr>
          <w:p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color w:val="212121"/>
                <w:sz w:val="16"/>
              </w:rPr>
              <w:t>3,059</w:t>
            </w:r>
          </w:p>
        </w:tc>
        <w:tc>
          <w:tcPr>
            <w:tcW w:type="dxa" w:w="1247"/>
            <w:shd w:fill="E3F2FD" w:val="clear"/>
          </w:tcPr>
          <w:p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color w:val="212121"/>
                <w:sz w:val="16"/>
              </w:rPr>
              <w:t>6.71</w:t>
            </w:r>
          </w:p>
        </w:tc>
        <w:tc>
          <w:tcPr>
            <w:tcW w:type="dxa" w:w="1020"/>
            <w:shd w:fill="E3F2FD" w:val="clear"/>
          </w:tcPr>
          <w:p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color w:val="212121"/>
                <w:sz w:val="16"/>
              </w:rPr>
              <w:t>40.2%</w:t>
            </w:r>
          </w:p>
        </w:tc>
      </w:tr>
      <w:tr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2025-04</w:t>
            </w:r>
          </w:p>
        </w:tc>
        <w:tc>
          <w:tcPr>
            <w:tcW w:type="dxa" w:w="90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30</w:t>
            </w:r>
          </w:p>
        </w:tc>
        <w:tc>
          <w:tcPr>
            <w:tcW w:type="dxa" w:w="136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15.48</w:t>
            </w:r>
          </w:p>
        </w:tc>
        <w:tc>
          <w:tcPr>
            <w:tcW w:type="dxa" w:w="90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-7.3%</w:t>
            </w:r>
          </w:p>
        </w:tc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3,425</w:t>
            </w:r>
          </w:p>
        </w:tc>
        <w:tc>
          <w:tcPr>
            <w:tcW w:type="dxa" w:w="124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6.49</w:t>
            </w:r>
          </w:p>
        </w:tc>
        <w:tc>
          <w:tcPr>
            <w:tcW w:type="dxa" w:w="102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41.9%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2025-05</w:t>
            </w:r>
          </w:p>
        </w:tc>
        <w:tc>
          <w:tcPr>
            <w:tcW w:type="dxa" w:w="90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31</w:t>
            </w:r>
          </w:p>
        </w:tc>
        <w:tc>
          <w:tcPr>
            <w:tcW w:type="dxa" w:w="136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14.76</w:t>
            </w:r>
          </w:p>
        </w:tc>
        <w:tc>
          <w:tcPr>
            <w:tcW w:type="dxa" w:w="90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-4.7%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2,412</w:t>
            </w:r>
          </w:p>
        </w:tc>
        <w:tc>
          <w:tcPr>
            <w:tcW w:type="dxa" w:w="124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6.32</w:t>
            </w:r>
          </w:p>
        </w:tc>
        <w:tc>
          <w:tcPr>
            <w:tcW w:type="dxa" w:w="102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42.8%</w:t>
            </w:r>
          </w:p>
        </w:tc>
      </w:tr>
      <w:tr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2025-06</w:t>
            </w:r>
          </w:p>
        </w:tc>
        <w:tc>
          <w:tcPr>
            <w:tcW w:type="dxa" w:w="90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30</w:t>
            </w:r>
          </w:p>
        </w:tc>
        <w:tc>
          <w:tcPr>
            <w:tcW w:type="dxa" w:w="136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14.27</w:t>
            </w:r>
          </w:p>
        </w:tc>
        <w:tc>
          <w:tcPr>
            <w:tcW w:type="dxa" w:w="90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-3.3%</w:t>
            </w:r>
          </w:p>
        </w:tc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2,730</w:t>
            </w:r>
          </w:p>
        </w:tc>
        <w:tc>
          <w:tcPr>
            <w:tcW w:type="dxa" w:w="124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5.85</w:t>
            </w:r>
          </w:p>
        </w:tc>
        <w:tc>
          <w:tcPr>
            <w:tcW w:type="dxa" w:w="102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41.0%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2025-07*</w:t>
            </w:r>
          </w:p>
        </w:tc>
        <w:tc>
          <w:tcPr>
            <w:tcW w:type="dxa" w:w="90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19</w:t>
            </w:r>
          </w:p>
        </w:tc>
        <w:tc>
          <w:tcPr>
            <w:tcW w:type="dxa" w:w="136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8.76</w:t>
            </w:r>
          </w:p>
        </w:tc>
        <w:tc>
          <w:tcPr>
            <w:tcW w:type="dxa" w:w="90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-38.6%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1,732</w:t>
            </w:r>
          </w:p>
        </w:tc>
        <w:tc>
          <w:tcPr>
            <w:tcW w:type="dxa" w:w="124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3.68</w:t>
            </w:r>
          </w:p>
        </w:tc>
        <w:tc>
          <w:tcPr>
            <w:tcW w:type="dxa" w:w="102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42.0%</w:t>
            </w:r>
          </w:p>
        </w:tc>
      </w:tr>
    </w:tbl>
    <w:p>
      <w:pPr>
        <w:spacing w:after="120" w:before="0"/>
      </w:pPr>
      <w:r>
        <w:rPr>
          <w:rFonts w:ascii="微软雅黑" w:hAnsi="微软雅黑" w:eastAsia="微软雅黑"/>
          <w:b/>
          <w:color w:val="616161"/>
          <w:sz w:val="16"/>
        </w:rPr>
        <w:t>注：7 月截至 7 月 19 日，订单周期未完，仅供参考。</w:t>
      </w:r>
    </w:p>
    <w:p>
      <w:pPr>
        <w:spacing w:after="120" w:before="120"/>
      </w:pPr>
      <w:r>
        <w:rPr>
          <w:rFonts w:ascii="微软雅黑" w:hAnsi="微软雅黑" w:eastAsia="微软雅黑"/>
          <w:b/>
          <w:color w:val="1A237E"/>
          <w:sz w:val="18"/>
        </w:rPr>
        <w:t>关键观察：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销量在 4 月触顶 3,425 件，但销售额在 3 月已达峰，4 月起呈"量增价缩"特征。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5 月销量骤降 29.6%（从 3,425 → 2,412），但销售额仅下滑 4.7%，说明订单金额提升但客户数减少。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毛利率稳定在 40.2%—43.0%，无系统性恶化迹象，问题出在量而非价。</w:t>
      </w:r>
    </w:p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3.2 地区维度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814"/>
        <w:gridCol w:w="1814"/>
        <w:gridCol w:w="1814"/>
        <w:gridCol w:w="1814"/>
        <w:gridCol w:w="1814"/>
      </w:tblGrid>
      <w:tr>
        <w:tc>
          <w:tcPr>
            <w:tcW w:type="dxa" w:w="141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地区</w:t>
            </w:r>
          </w:p>
        </w:tc>
        <w:tc>
          <w:tcPr>
            <w:tcW w:type="dxa" w:w="113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订单数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销售额（万元）</w:t>
            </w:r>
          </w:p>
        </w:tc>
        <w:tc>
          <w:tcPr>
            <w:tcW w:type="dxa" w:w="1701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销量（件）</w:t>
            </w:r>
          </w:p>
        </w:tc>
        <w:tc>
          <w:tcPr>
            <w:tcW w:type="dxa" w:w="2268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毛利率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西南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49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22.95</w:t>
            </w:r>
          </w:p>
        </w:tc>
        <w:tc>
          <w:tcPr>
            <w:tcW w:type="dxa" w:w="170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4,075</w:t>
            </w:r>
          </w:p>
        </w:tc>
        <w:tc>
          <w:tcPr>
            <w:tcW w:type="dxa" w:w="2268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40.2%</w:t>
            </w:r>
          </w:p>
        </w:tc>
      </w:tr>
      <w:tr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华东</w:t>
            </w:r>
          </w:p>
        </w:tc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43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21.21</w:t>
            </w:r>
          </w:p>
        </w:tc>
        <w:tc>
          <w:tcPr>
            <w:tcW w:type="dxa" w:w="170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4,462</w:t>
            </w:r>
          </w:p>
        </w:tc>
        <w:tc>
          <w:tcPr>
            <w:tcW w:type="dxa" w:w="2268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38.9%（最低）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华北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37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19.04</w:t>
            </w:r>
          </w:p>
        </w:tc>
        <w:tc>
          <w:tcPr>
            <w:tcW w:type="dxa" w:w="170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3,504</w:t>
            </w:r>
          </w:p>
        </w:tc>
        <w:tc>
          <w:tcPr>
            <w:tcW w:type="dxa" w:w="2268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42.5%</w:t>
            </w:r>
          </w:p>
        </w:tc>
      </w:tr>
      <w:tr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华南</w:t>
            </w:r>
          </w:p>
        </w:tc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35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17.82</w:t>
            </w:r>
          </w:p>
        </w:tc>
        <w:tc>
          <w:tcPr>
            <w:tcW w:type="dxa" w:w="170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3,280</w:t>
            </w:r>
          </w:p>
        </w:tc>
        <w:tc>
          <w:tcPr>
            <w:tcW w:type="dxa" w:w="2268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44.7%（最高）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西北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36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17.14</w:t>
            </w:r>
          </w:p>
        </w:tc>
        <w:tc>
          <w:tcPr>
            <w:tcW w:type="dxa" w:w="170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3,852</w:t>
            </w:r>
          </w:p>
        </w:tc>
        <w:tc>
          <w:tcPr>
            <w:tcW w:type="dxa" w:w="2268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43.3%</w:t>
            </w:r>
          </w:p>
        </w:tc>
      </w:tr>
    </w:tbl>
    <w:p>
      <w:pPr>
        <w:spacing w:after="120" w:before="120"/>
      </w:pPr>
      <w:r>
        <w:rPr>
          <w:rFonts w:ascii="微软雅黑" w:hAnsi="微软雅黑" w:eastAsia="微软雅黑"/>
          <w:b/>
          <w:color w:val="1A237E"/>
          <w:sz w:val="18"/>
        </w:rPr>
        <w:t>关键观察：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销售额区域差距不大，最高（西南）与最低（西北）相差约 34%。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华东销量最高（4,462 件）但毛利率最低（38.9%）：可能存在价格让利换取销量，或区域成本偏高。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华南以最低销量实现最高毛利率（44.7%）：产品组合或定价策略最优，可作为标杆。</w:t>
      </w:r>
    </w:p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3.3 产品维度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296"/>
        <w:gridCol w:w="1296"/>
        <w:gridCol w:w="1296"/>
        <w:gridCol w:w="1296"/>
        <w:gridCol w:w="1296"/>
        <w:gridCol w:w="1296"/>
        <w:gridCol w:w="1296"/>
      </w:tblGrid>
      <w:tr>
        <w:tc>
          <w:tcPr>
            <w:tcW w:type="dxa" w:w="113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产品</w:t>
            </w:r>
          </w:p>
        </w:tc>
        <w:tc>
          <w:tcPr>
            <w:tcW w:type="dxa" w:w="90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订单数</w:t>
            </w:r>
          </w:p>
        </w:tc>
        <w:tc>
          <w:tcPr>
            <w:tcW w:type="dxa" w:w="1701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销售额（万元）</w:t>
            </w:r>
          </w:p>
        </w:tc>
        <w:tc>
          <w:tcPr>
            <w:tcW w:type="dxa" w:w="1020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占比</w:t>
            </w:r>
          </w:p>
        </w:tc>
        <w:tc>
          <w:tcPr>
            <w:tcW w:type="dxa" w:w="124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销量（件）</w:t>
            </w:r>
          </w:p>
        </w:tc>
        <w:tc>
          <w:tcPr>
            <w:tcW w:type="dxa" w:w="1701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毛利率</w:t>
            </w:r>
          </w:p>
        </w:tc>
        <w:tc>
          <w:tcPr>
            <w:tcW w:type="dxa" w:w="1361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件均价（元）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D</w:t>
            </w:r>
          </w:p>
        </w:tc>
        <w:tc>
          <w:tcPr>
            <w:tcW w:type="dxa" w:w="90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66</w:t>
            </w:r>
          </w:p>
        </w:tc>
        <w:tc>
          <w:tcPr>
            <w:tcW w:type="dxa" w:w="170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33.54</w:t>
            </w:r>
          </w:p>
        </w:tc>
        <w:tc>
          <w:tcPr>
            <w:tcW w:type="dxa" w:w="102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34.2%</w:t>
            </w:r>
          </w:p>
        </w:tc>
        <w:tc>
          <w:tcPr>
            <w:tcW w:type="dxa" w:w="124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6,409</w:t>
            </w:r>
          </w:p>
        </w:tc>
        <w:tc>
          <w:tcPr>
            <w:tcW w:type="dxa" w:w="170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41.0%</w:t>
            </w:r>
          </w:p>
        </w:tc>
        <w:tc>
          <w:tcPr>
            <w:tcW w:type="dxa" w:w="136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52.33</w:t>
            </w:r>
          </w:p>
        </w:tc>
      </w:tr>
      <w:tr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A</w:t>
            </w:r>
          </w:p>
        </w:tc>
        <w:tc>
          <w:tcPr>
            <w:tcW w:type="dxa" w:w="90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47</w:t>
            </w:r>
          </w:p>
        </w:tc>
        <w:tc>
          <w:tcPr>
            <w:tcW w:type="dxa" w:w="170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23.56</w:t>
            </w:r>
          </w:p>
        </w:tc>
        <w:tc>
          <w:tcPr>
            <w:tcW w:type="dxa" w:w="102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24.0%</w:t>
            </w:r>
          </w:p>
        </w:tc>
        <w:tc>
          <w:tcPr>
            <w:tcW w:type="dxa" w:w="124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4,262</w:t>
            </w:r>
          </w:p>
        </w:tc>
        <w:tc>
          <w:tcPr>
            <w:tcW w:type="dxa" w:w="170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43.9%</w:t>
            </w:r>
          </w:p>
        </w:tc>
        <w:tc>
          <w:tcPr>
            <w:tcW w:type="dxa" w:w="136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55.28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C</w:t>
            </w:r>
          </w:p>
        </w:tc>
        <w:tc>
          <w:tcPr>
            <w:tcW w:type="dxa" w:w="90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45</w:t>
            </w:r>
          </w:p>
        </w:tc>
        <w:tc>
          <w:tcPr>
            <w:tcW w:type="dxa" w:w="170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20.94</w:t>
            </w:r>
          </w:p>
        </w:tc>
        <w:tc>
          <w:tcPr>
            <w:tcW w:type="dxa" w:w="102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21.3%</w:t>
            </w:r>
          </w:p>
        </w:tc>
        <w:tc>
          <w:tcPr>
            <w:tcW w:type="dxa" w:w="124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3,983</w:t>
            </w:r>
          </w:p>
        </w:tc>
        <w:tc>
          <w:tcPr>
            <w:tcW w:type="dxa" w:w="170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38.7%（最低）</w:t>
            </w:r>
          </w:p>
        </w:tc>
        <w:tc>
          <w:tcPr>
            <w:tcW w:type="dxa" w:w="136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52.58</w:t>
            </w:r>
          </w:p>
        </w:tc>
      </w:tr>
      <w:tr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B</w:t>
            </w:r>
          </w:p>
        </w:tc>
        <w:tc>
          <w:tcPr>
            <w:tcW w:type="dxa" w:w="90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42</w:t>
            </w:r>
          </w:p>
        </w:tc>
        <w:tc>
          <w:tcPr>
            <w:tcW w:type="dxa" w:w="170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20.12</w:t>
            </w:r>
          </w:p>
        </w:tc>
        <w:tc>
          <w:tcPr>
            <w:tcW w:type="dxa" w:w="102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20.5%</w:t>
            </w:r>
          </w:p>
        </w:tc>
        <w:tc>
          <w:tcPr>
            <w:tcW w:type="dxa" w:w="124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4,519</w:t>
            </w:r>
          </w:p>
        </w:tc>
        <w:tc>
          <w:tcPr>
            <w:tcW w:type="dxa" w:w="170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43.5%</w:t>
            </w:r>
          </w:p>
        </w:tc>
        <w:tc>
          <w:tcPr>
            <w:tcW w:type="dxa" w:w="136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44.53</w:t>
            </w:r>
          </w:p>
        </w:tc>
      </w:tr>
    </w:tbl>
    <w:p>
      <w:pPr>
        <w:spacing w:after="120" w:before="0"/>
      </w:pPr>
      <w:r>
        <w:rPr>
          <w:rFonts w:ascii="微软雅黑" w:hAnsi="微软雅黑" w:eastAsia="微软雅黑"/>
          <w:b w:val="0"/>
          <w:color w:val="212121"/>
          <w:sz w:val="18"/>
        </w:rPr>
        <w:t>帕累托分布（销售额累计占比）：产品 D 34.2% → 产品 A 累计 58.2% → 产品 C 累计 79.5% → 产品 B 累计 100%。前两大产品贡献近 6 成销售额。</w:t>
      </w:r>
    </w:p>
    <w:p>
      <w:pPr>
        <w:spacing w:after="120" w:before="120"/>
      </w:pPr>
      <w:r>
        <w:rPr>
          <w:rFonts w:ascii="微软雅黑" w:hAnsi="微软雅黑" w:eastAsia="微软雅黑"/>
          <w:b/>
          <w:color w:val="1A237E"/>
          <w:sz w:val="18"/>
        </w:rPr>
        <w:t>关键观察：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产品 D 一支独大（34.2% 占比），但毛利率仅 41.0%，属"销量拉动型"——一旦失速，影响全局。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产品 C 是结构性短板：销售额第三，但毛利率最低（38.7%），需重新审视定价或成本结构。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产品 A 性价比最优：毛利率 43.9%、件均价 55.28 元均为最高，应作为重点推广品类。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产品 B 是引流款：销量 4,519 件排第二，但件均价最低（44.53 元）。</w:t>
      </w:r>
    </w:p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3.4 交叉分析：地区 × 产品（销售额）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512"/>
        <w:gridCol w:w="1512"/>
        <w:gridCol w:w="1512"/>
        <w:gridCol w:w="1512"/>
        <w:gridCol w:w="1512"/>
        <w:gridCol w:w="1512"/>
      </w:tblGrid>
      <w:tr>
        <w:tc>
          <w:tcPr>
            <w:tcW w:type="dxa" w:w="141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地区</w:t>
            </w:r>
          </w:p>
        </w:tc>
        <w:tc>
          <w:tcPr>
            <w:tcW w:type="dxa" w:w="141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产品 A</w:t>
            </w:r>
          </w:p>
        </w:tc>
        <w:tc>
          <w:tcPr>
            <w:tcW w:type="dxa" w:w="141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产品 B</w:t>
            </w:r>
          </w:p>
        </w:tc>
        <w:tc>
          <w:tcPr>
            <w:tcW w:type="dxa" w:w="141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产品 C</w:t>
            </w:r>
          </w:p>
        </w:tc>
        <w:tc>
          <w:tcPr>
            <w:tcW w:type="dxa" w:w="141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产品 D</w:t>
            </w:r>
          </w:p>
        </w:tc>
        <w:tc>
          <w:tcPr>
            <w:tcW w:type="dxa" w:w="141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合计（万元）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西南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6.21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3.30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6.65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6.79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22.95</w:t>
            </w:r>
          </w:p>
        </w:tc>
      </w:tr>
      <w:tr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华东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5.96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4.20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3.99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7.06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21.21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华北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4.75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3.07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2.93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8.29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19.04</w:t>
            </w:r>
          </w:p>
        </w:tc>
      </w:tr>
      <w:tr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华南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4.52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3.53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3.72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6.05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17.82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西北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2.12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6.02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3.65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5.34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17.14</w:t>
            </w:r>
          </w:p>
        </w:tc>
      </w:tr>
    </w:tbl>
    <w:p>
      <w:pPr>
        <w:spacing w:after="120" w:before="120"/>
      </w:pPr>
      <w:r>
        <w:rPr>
          <w:rFonts w:ascii="微软雅黑" w:hAnsi="微软雅黑" w:eastAsia="微软雅黑"/>
          <w:b/>
          <w:color w:val="1A237E"/>
          <w:sz w:val="18"/>
        </w:rPr>
        <w:t>关键观察：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华北产品 D 占该地区 43.5%：单一品类依赖度极高。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西北产品 B 占该地区 35.1%、产品 A 仅 12.4%：偏好明显，品类结构单一。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西南产品 A、C 双强：品类结构最均衡，可作为区域品类策略参考。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不同区域的品类偏好差异显著，不应采用统一的全国品类推广策略。</w:t>
      </w:r>
    </w:p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3.5 客单价（件均价）分布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536"/>
        <w:gridCol w:w="4536"/>
      </w:tblGrid>
      <w:tr>
        <w:tc>
          <w:tcPr>
            <w:tcW w:type="dxa" w:w="2268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指标</w:t>
            </w:r>
          </w:p>
        </w:tc>
        <w:tc>
          <w:tcPr>
            <w:tcW w:type="dxa" w:w="6803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数值（元）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最小值</w:t>
            </w:r>
          </w:p>
        </w:tc>
        <w:tc>
          <w:tcPr>
            <w:tcW w:type="dxa" w:w="6803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7.08</w:t>
            </w:r>
          </w:p>
        </w:tc>
      </w:tr>
      <w:tr>
        <w:tc>
          <w:tcPr>
            <w:tcW w:type="dxa" w:w="2268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P25</w:t>
            </w:r>
          </w:p>
        </w:tc>
        <w:tc>
          <w:tcPr>
            <w:tcW w:type="dxa" w:w="6803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32.71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中位数</w:t>
            </w:r>
          </w:p>
        </w:tc>
        <w:tc>
          <w:tcPr>
            <w:tcW w:type="dxa" w:w="6803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51.22</w:t>
            </w:r>
          </w:p>
        </w:tc>
      </w:tr>
      <w:tr>
        <w:tc>
          <w:tcPr>
            <w:tcW w:type="dxa" w:w="2268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均值</w:t>
            </w:r>
          </w:p>
        </w:tc>
        <w:tc>
          <w:tcPr>
            <w:tcW w:type="dxa" w:w="6803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89.22（受高值拉高）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P75</w:t>
            </w:r>
          </w:p>
        </w:tc>
        <w:tc>
          <w:tcPr>
            <w:tcW w:type="dxa" w:w="6803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98.91</w:t>
            </w:r>
          </w:p>
        </w:tc>
      </w:tr>
      <w:tr>
        <w:tc>
          <w:tcPr>
            <w:tcW w:type="dxa" w:w="2268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最大值</w:t>
            </w:r>
          </w:p>
        </w:tc>
        <w:tc>
          <w:tcPr>
            <w:tcW w:type="dxa" w:w="6803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772.05</w:t>
            </w:r>
          </w:p>
        </w:tc>
      </w:tr>
    </w:tbl>
    <w:p>
      <w:pPr>
        <w:spacing w:after="120" w:before="0"/>
      </w:pPr>
      <w:r>
        <w:rPr>
          <w:rFonts w:ascii="微软雅黑" w:hAnsi="微软雅黑" w:eastAsia="微软雅黑"/>
          <w:b w:val="0"/>
          <w:color w:val="212121"/>
          <w:sz w:val="18"/>
        </w:rPr>
        <w:t>件均价跨度 109 倍，主要由产品定价与数量组合决定；75% 的订单件均价集中在 32—99 元区间。</w:t>
      </w:r>
    </w:p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3.6 周内分布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1701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星期</w:t>
            </w:r>
          </w:p>
        </w:tc>
        <w:tc>
          <w:tcPr>
            <w:tcW w:type="dxa" w:w="1701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订单数</w:t>
            </w:r>
          </w:p>
        </w:tc>
        <w:tc>
          <w:tcPr>
            <w:tcW w:type="dxa" w:w="2268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销售额（万元）</w:t>
            </w:r>
          </w:p>
        </w:tc>
        <w:tc>
          <w:tcPr>
            <w:tcW w:type="dxa" w:w="3402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均单（元）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周一</w:t>
            </w:r>
          </w:p>
        </w:tc>
        <w:tc>
          <w:tcPr>
            <w:tcW w:type="dxa" w:w="170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28</w:t>
            </w:r>
          </w:p>
        </w:tc>
        <w:tc>
          <w:tcPr>
            <w:tcW w:type="dxa" w:w="2268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15.32</w:t>
            </w:r>
          </w:p>
        </w:tc>
        <w:tc>
          <w:tcPr>
            <w:tcW w:type="dxa" w:w="34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5,471（最高）</w:t>
            </w:r>
          </w:p>
        </w:tc>
      </w:tr>
      <w:tr>
        <w:tc>
          <w:tcPr>
            <w:tcW w:type="dxa" w:w="170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周二</w:t>
            </w:r>
          </w:p>
        </w:tc>
        <w:tc>
          <w:tcPr>
            <w:tcW w:type="dxa" w:w="170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28</w:t>
            </w:r>
          </w:p>
        </w:tc>
        <w:tc>
          <w:tcPr>
            <w:tcW w:type="dxa" w:w="2268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13.35</w:t>
            </w:r>
          </w:p>
        </w:tc>
        <w:tc>
          <w:tcPr>
            <w:tcW w:type="dxa" w:w="34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4,767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周三</w:t>
            </w:r>
          </w:p>
        </w:tc>
        <w:tc>
          <w:tcPr>
            <w:tcW w:type="dxa" w:w="170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29</w:t>
            </w:r>
          </w:p>
        </w:tc>
        <w:tc>
          <w:tcPr>
            <w:tcW w:type="dxa" w:w="2268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14.71</w:t>
            </w:r>
          </w:p>
        </w:tc>
        <w:tc>
          <w:tcPr>
            <w:tcW w:type="dxa" w:w="34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5,071</w:t>
            </w:r>
          </w:p>
        </w:tc>
      </w:tr>
      <w:tr>
        <w:tc>
          <w:tcPr>
            <w:tcW w:type="dxa" w:w="170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周四</w:t>
            </w:r>
          </w:p>
        </w:tc>
        <w:tc>
          <w:tcPr>
            <w:tcW w:type="dxa" w:w="170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29</w:t>
            </w:r>
          </w:p>
        </w:tc>
        <w:tc>
          <w:tcPr>
            <w:tcW w:type="dxa" w:w="2268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13.07</w:t>
            </w:r>
          </w:p>
        </w:tc>
        <w:tc>
          <w:tcPr>
            <w:tcW w:type="dxa" w:w="34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4,506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周五</w:t>
            </w:r>
          </w:p>
        </w:tc>
        <w:tc>
          <w:tcPr>
            <w:tcW w:type="dxa" w:w="170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29</w:t>
            </w:r>
          </w:p>
        </w:tc>
        <w:tc>
          <w:tcPr>
            <w:tcW w:type="dxa" w:w="2268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13.51</w:t>
            </w:r>
          </w:p>
        </w:tc>
        <w:tc>
          <w:tcPr>
            <w:tcW w:type="dxa" w:w="34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4,659</w:t>
            </w:r>
          </w:p>
        </w:tc>
      </w:tr>
      <w:tr>
        <w:tc>
          <w:tcPr>
            <w:tcW w:type="dxa" w:w="170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周六</w:t>
            </w:r>
          </w:p>
        </w:tc>
        <w:tc>
          <w:tcPr>
            <w:tcW w:type="dxa" w:w="1701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29</w:t>
            </w:r>
          </w:p>
        </w:tc>
        <w:tc>
          <w:tcPr>
            <w:tcW w:type="dxa" w:w="2268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13.84</w:t>
            </w:r>
          </w:p>
        </w:tc>
        <w:tc>
          <w:tcPr>
            <w:tcW w:type="dxa" w:w="34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4,772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周日</w:t>
            </w:r>
          </w:p>
        </w:tc>
        <w:tc>
          <w:tcPr>
            <w:tcW w:type="dxa" w:w="1701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28</w:t>
            </w:r>
          </w:p>
        </w:tc>
        <w:tc>
          <w:tcPr>
            <w:tcW w:type="dxa" w:w="2268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14.37</w:t>
            </w:r>
          </w:p>
        </w:tc>
        <w:tc>
          <w:tcPr>
            <w:tcW w:type="dxa" w:w="34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5,133</w:t>
            </w:r>
          </w:p>
        </w:tc>
      </w:tr>
    </w:tbl>
    <w:p>
      <w:pPr>
        <w:spacing w:after="120" w:before="0"/>
      </w:pPr>
      <w:r>
        <w:rPr>
          <w:rFonts w:ascii="微软雅黑" w:hAnsi="微软雅黑" w:eastAsia="微软雅黑"/>
          <w:b w:val="0"/>
          <w:color w:val="212121"/>
          <w:sz w:val="18"/>
        </w:rPr>
        <w:t>工作日与周末订单分布基本均衡（27—29 笔），无显著淡旺日差异；周一首单均价最高，可作为促销启动节点。</w:t>
      </w:r>
    </w:p>
    <w:p>
      <w:r>
        <w:br w:type="page"/>
      </w:r>
    </w:p>
    <w:p>
      <w:pPr>
        <w:spacing w:before="360" w:after="160"/>
        <w:pBdr>
          <w:left w:val="single" w:sz="24" w:space="4" w:color="1565C0"/>
        </w:pBdr>
      </w:pPr>
      <w:r>
        <w:rPr>
          <w:rFonts w:ascii="微软雅黑" w:hAnsi="微软雅黑" w:eastAsia="微软雅黑"/>
          <w:b/>
          <w:color w:val="1A237E"/>
          <w:sz w:val="28"/>
        </w:rPr>
        <w:t>四、关键问题诊断（TOP 7）</w:t>
      </w:r>
    </w:p>
    <w:p>
      <w:pPr>
        <w:spacing w:after="80" w:before="80"/>
        <w:ind w:left="170"/>
        <w:pBdr>
          <w:left w:val="single" w:sz="24" w:space="8" w:color="E53935"/>
        </w:pBdr>
        <w:shd w:fill="F5F7FA" w:val="clear"/>
      </w:pPr>
      <w:r>
        <w:rPr>
          <w:rFonts w:ascii="微软雅黑" w:hAnsi="微软雅黑" w:eastAsia="微软雅黑"/>
          <w:b/>
          <w:color w:val="E53935"/>
          <w:sz w:val="20"/>
        </w:rPr>
        <w:t xml:space="preserve">【P0-1】 </w:t>
      </w:r>
      <w:r>
        <w:rPr>
          <w:rFonts w:ascii="微软雅黑" w:hAnsi="微软雅黑" w:eastAsia="微软雅黑"/>
          <w:b/>
          <w:color w:val="1A237E"/>
          <w:sz w:val="20"/>
        </w:rPr>
        <w:t>增长动能衰减，3 月达峰后连续 3 月下滑</w:t>
      </w:r>
    </w:p>
    <w:p>
      <w:pPr>
        <w:spacing w:after="120"/>
        <w:ind w:left="454"/>
      </w:pPr>
      <w:r>
        <w:rPr>
          <w:rFonts w:ascii="微软雅黑" w:hAnsi="微软雅黑" w:eastAsia="微软雅黑"/>
          <w:color w:val="616161"/>
          <w:sz w:val="16"/>
        </w:rPr>
        <w:t>证据：3 月 16.70 万 → 6 月 14.27 万，累计 -14.6%；月度销量 4 月达 3,425 件峰值后跌至 5 月 2,412 件（-29.6%）。</w:t>
      </w:r>
    </w:p>
    <w:p>
      <w:pPr>
        <w:spacing w:after="80" w:before="80"/>
        <w:ind w:left="170"/>
        <w:pBdr>
          <w:left w:val="single" w:sz="24" w:space="8" w:color="E53935"/>
        </w:pBdr>
        <w:shd w:fill="F5F7FA" w:val="clear"/>
      </w:pPr>
      <w:r>
        <w:rPr>
          <w:rFonts w:ascii="微软雅黑" w:hAnsi="微软雅黑" w:eastAsia="微软雅黑"/>
          <w:b/>
          <w:color w:val="E53935"/>
          <w:sz w:val="20"/>
        </w:rPr>
        <w:t xml:space="preserve">【P0-2】 </w:t>
      </w:r>
      <w:r>
        <w:rPr>
          <w:rFonts w:ascii="微软雅黑" w:hAnsi="微软雅黑" w:eastAsia="微软雅黑"/>
          <w:b/>
          <w:color w:val="1A237E"/>
          <w:sz w:val="20"/>
        </w:rPr>
        <w:t>主力产品 D 4 月环比 -40.4%，拖累整体</w:t>
      </w:r>
    </w:p>
    <w:p>
      <w:pPr>
        <w:spacing w:after="120"/>
        <w:ind w:left="454"/>
      </w:pPr>
      <w:r>
        <w:rPr>
          <w:rFonts w:ascii="微软雅黑" w:hAnsi="微软雅黑" w:eastAsia="微软雅黑"/>
          <w:color w:val="616161"/>
          <w:sz w:val="16"/>
        </w:rPr>
        <w:t>证据：产品 D 销售额 4 月 8.30 万 → 5 月 3.92 万；产品 D 占总销售额 34.2%，是销量基本盘。</w:t>
      </w:r>
    </w:p>
    <w:p>
      <w:pPr>
        <w:spacing w:after="80" w:before="80"/>
        <w:ind w:left="170"/>
        <w:pBdr>
          <w:left w:val="single" w:sz="24" w:space="8" w:color="F9A825"/>
        </w:pBdr>
        <w:shd w:fill="F5F7FA" w:val="clear"/>
      </w:pPr>
      <w:r>
        <w:rPr>
          <w:rFonts w:ascii="微软雅黑" w:hAnsi="微软雅黑" w:eastAsia="微软雅黑"/>
          <w:b/>
          <w:color w:val="F9A825"/>
          <w:sz w:val="20"/>
        </w:rPr>
        <w:t xml:space="preserve">【P1-3】 </w:t>
      </w:r>
      <w:r>
        <w:rPr>
          <w:rFonts w:ascii="微软雅黑" w:hAnsi="微软雅黑" w:eastAsia="微软雅黑"/>
          <w:b/>
          <w:color w:val="1A237E"/>
          <w:sz w:val="20"/>
        </w:rPr>
        <w:t>产品 C 毛利率最低（38.7%）但销售排名第三</w:t>
      </w:r>
    </w:p>
    <w:p>
      <w:pPr>
        <w:spacing w:after="120"/>
        <w:ind w:left="454"/>
      </w:pPr>
      <w:r>
        <w:rPr>
          <w:rFonts w:ascii="微软雅黑" w:hAnsi="微软雅黑" w:eastAsia="微软雅黑"/>
          <w:color w:val="616161"/>
          <w:sz w:val="16"/>
        </w:rPr>
        <w:t>证据：销售额 20.94 万（第三），但毛利率低于平均（41.7%）；结构性低效。</w:t>
      </w:r>
    </w:p>
    <w:p>
      <w:pPr>
        <w:spacing w:after="80" w:before="80"/>
        <w:ind w:left="170"/>
        <w:pBdr>
          <w:left w:val="single" w:sz="24" w:space="8" w:color="F9A825"/>
        </w:pBdr>
        <w:shd w:fill="F5F7FA" w:val="clear"/>
      </w:pPr>
      <w:r>
        <w:rPr>
          <w:rFonts w:ascii="微软雅黑" w:hAnsi="微软雅黑" w:eastAsia="微软雅黑"/>
          <w:b/>
          <w:color w:val="F9A825"/>
          <w:sz w:val="20"/>
        </w:rPr>
        <w:t xml:space="preserve">【P1-4】 </w:t>
      </w:r>
      <w:r>
        <w:rPr>
          <w:rFonts w:ascii="微软雅黑" w:hAnsi="微软雅黑" w:eastAsia="微软雅黑"/>
          <w:b/>
          <w:color w:val="1A237E"/>
          <w:sz w:val="20"/>
        </w:rPr>
        <w:t>华东毛利率仅 38.9%（最低）</w:t>
      </w:r>
    </w:p>
    <w:p>
      <w:pPr>
        <w:spacing w:after="120"/>
        <w:ind w:left="454"/>
      </w:pPr>
      <w:r>
        <w:rPr>
          <w:rFonts w:ascii="微软雅黑" w:hAnsi="微软雅黑" w:eastAsia="微软雅黑"/>
          <w:color w:val="616161"/>
          <w:sz w:val="16"/>
        </w:rPr>
        <w:t>证据：华东销量 4,462 件为五个地区最高，但毛利率最低 38.9%，存在"以价换量"特征。</w:t>
      </w:r>
    </w:p>
    <w:p>
      <w:pPr>
        <w:spacing w:after="80" w:before="80"/>
        <w:ind w:left="170"/>
        <w:pBdr>
          <w:left w:val="single" w:sz="24" w:space="8" w:color="F9A825"/>
        </w:pBdr>
        <w:shd w:fill="F5F7FA" w:val="clear"/>
      </w:pPr>
      <w:r>
        <w:rPr>
          <w:rFonts w:ascii="微软雅黑" w:hAnsi="微软雅黑" w:eastAsia="微软雅黑"/>
          <w:b/>
          <w:color w:val="F9A825"/>
          <w:sz w:val="20"/>
        </w:rPr>
        <w:t xml:space="preserve">【P1-5】 </w:t>
      </w:r>
      <w:r>
        <w:rPr>
          <w:rFonts w:ascii="微软雅黑" w:hAnsi="微软雅黑" w:eastAsia="微软雅黑"/>
          <w:b/>
          <w:color w:val="1A237E"/>
          <w:sz w:val="20"/>
        </w:rPr>
        <w:t>西北品类结构单一，产品 B 占比 35.1%</w:t>
      </w:r>
    </w:p>
    <w:p>
      <w:pPr>
        <w:spacing w:after="120"/>
        <w:ind w:left="454"/>
      </w:pPr>
      <w:r>
        <w:rPr>
          <w:rFonts w:ascii="微软雅黑" w:hAnsi="微软雅黑" w:eastAsia="微软雅黑"/>
          <w:color w:val="616161"/>
          <w:sz w:val="16"/>
        </w:rPr>
        <w:t>证据：西北产品 B 6.02 万（占 35.1%）、产品 A 仅 2.12 万（占 12.4%）；抗风险能力弱。</w:t>
      </w:r>
    </w:p>
    <w:p>
      <w:pPr>
        <w:spacing w:after="80" w:before="80"/>
        <w:ind w:left="170"/>
        <w:pBdr>
          <w:left w:val="single" w:sz="24" w:space="8" w:color="1565C0"/>
        </w:pBdr>
        <w:shd w:fill="F5F7FA" w:val="clear"/>
      </w:pPr>
      <w:r>
        <w:rPr>
          <w:rFonts w:ascii="微软雅黑" w:hAnsi="微软雅黑" w:eastAsia="微软雅黑"/>
          <w:b/>
          <w:color w:val="1565C0"/>
          <w:sz w:val="20"/>
        </w:rPr>
        <w:t xml:space="preserve">【P2-6】 </w:t>
      </w:r>
      <w:r>
        <w:rPr>
          <w:rFonts w:ascii="微软雅黑" w:hAnsi="微软雅黑" w:eastAsia="微软雅黑"/>
          <w:b/>
          <w:color w:val="1A237E"/>
          <w:sz w:val="20"/>
        </w:rPr>
        <w:t>数据缺失率 8%（16/200 行无成本/利润）</w:t>
      </w:r>
    </w:p>
    <w:p>
      <w:pPr>
        <w:spacing w:after="120"/>
        <w:ind w:left="454"/>
      </w:pPr>
      <w:r>
        <w:rPr>
          <w:rFonts w:ascii="微软雅黑" w:hAnsi="微软雅黑" w:eastAsia="微软雅黑"/>
          <w:color w:val="616161"/>
          <w:sz w:val="16"/>
        </w:rPr>
        <w:t>证据：集中在西南、华东的 1—3 月；影响毛利率统计准确性。</w:t>
      </w:r>
    </w:p>
    <w:p>
      <w:pPr>
        <w:spacing w:after="80" w:before="80"/>
        <w:ind w:left="170"/>
        <w:pBdr>
          <w:left w:val="single" w:sz="24" w:space="8" w:color="1565C0"/>
        </w:pBdr>
        <w:shd w:fill="F5F7FA" w:val="clear"/>
      </w:pPr>
      <w:r>
        <w:rPr>
          <w:rFonts w:ascii="微软雅黑" w:hAnsi="微软雅黑" w:eastAsia="微软雅黑"/>
          <w:b/>
          <w:color w:val="1565C0"/>
          <w:sz w:val="20"/>
        </w:rPr>
        <w:t xml:space="preserve">【P2-7】 </w:t>
      </w:r>
      <w:r>
        <w:rPr>
          <w:rFonts w:ascii="微软雅黑" w:hAnsi="微软雅黑" w:eastAsia="微软雅黑"/>
          <w:b/>
          <w:color w:val="1A237E"/>
          <w:sz w:val="20"/>
        </w:rPr>
        <w:t>产品 A 月度波动剧烈</w:t>
      </w:r>
    </w:p>
    <w:p>
      <w:pPr>
        <w:spacing w:after="120"/>
        <w:ind w:left="454"/>
      </w:pPr>
      <w:r>
        <w:rPr>
          <w:rFonts w:ascii="微软雅黑" w:hAnsi="微软雅黑" w:eastAsia="微软雅黑"/>
          <w:color w:val="616161"/>
          <w:sz w:val="16"/>
        </w:rPr>
        <w:t>证据：5 月 -50.3%、6 月 +138.9%；可能存在促销脉冲或订单集中问题。</w:t>
      </w:r>
    </w:p>
    <w:p>
      <w:r>
        <w:br w:type="page"/>
      </w:r>
    </w:p>
    <w:p>
      <w:pPr>
        <w:spacing w:before="360" w:after="160"/>
        <w:pBdr>
          <w:left w:val="single" w:sz="24" w:space="4" w:color="1565C0"/>
        </w:pBdr>
      </w:pPr>
      <w:r>
        <w:rPr>
          <w:rFonts w:ascii="微软雅黑" w:hAnsi="微软雅黑" w:eastAsia="微软雅黑"/>
          <w:b/>
          <w:color w:val="1A237E"/>
          <w:sz w:val="28"/>
        </w:rPr>
        <w:t>五、优化方案</w:t>
      </w:r>
    </w:p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方案 1：止滑行动 — 4—6 月连续下滑应对（对应 P0-1）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5102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动作项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负责部门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期望效果</w:t>
            </w:r>
          </w:p>
        </w:tc>
      </w:tr>
      <w:tr>
        <w:tc>
          <w:tcPr>
            <w:tcW w:type="dxa" w:w="51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启动 Q3 销售冲刺计划：6—8 月旺季营销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销售部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销量止跌回升，月销售额回升至 16 万+</w:t>
            </w:r>
          </w:p>
        </w:tc>
      </w:tr>
      <w:tr>
        <w:tc>
          <w:tcPr>
            <w:tcW w:type="dxa" w:w="51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客户分层运营：Top 20 客户专人对接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销售部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维护大客户，减少流失</w:t>
            </w:r>
          </w:p>
        </w:tc>
      </w:tr>
      <w:tr>
        <w:tc>
          <w:tcPr>
            <w:tcW w:type="dxa" w:w="51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7 月是"半年冲刺"节点，加大促销力度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市场部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弥补上半年销量缺口</w:t>
            </w:r>
          </w:p>
        </w:tc>
      </w:tr>
    </w:tbl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方案 2：主力产品 D 复苏（对应 P0-2）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5102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动作项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负责部门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期望效果</w:t>
            </w:r>
          </w:p>
        </w:tc>
      </w:tr>
      <w:tr>
        <w:tc>
          <w:tcPr>
            <w:tcW w:type="dxa" w:w="51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复盘产品 D 在 4 月环比 -40% 的原因（缺货？促销到期？竞品？）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市场部+销售部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找到真实动因</w:t>
            </w:r>
          </w:p>
        </w:tc>
      </w:tr>
      <w:tr>
        <w:tc>
          <w:tcPr>
            <w:tcW w:type="dxa" w:w="51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D 毛利率 41% 仍有提升空间，通过降本提升至 43%+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供应链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毛利率提升 2pct</w:t>
            </w:r>
          </w:p>
        </w:tc>
      </w:tr>
      <w:tr>
        <w:tc>
          <w:tcPr>
            <w:tcW w:type="dxa" w:w="51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在华北、西南等 D 强势区域加大广告投放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市场部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稳住主力区域</w:t>
            </w:r>
          </w:p>
        </w:tc>
      </w:tr>
    </w:tbl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方案 3：产品 C 改造（对应 P1-3）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5102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动作项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负责部门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期望效果</w:t>
            </w:r>
          </w:p>
        </w:tc>
      </w:tr>
      <w:tr>
        <w:tc>
          <w:tcPr>
            <w:tcW w:type="dxa" w:w="51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复盘产品 C 成本结构，毛利率 38.7% 是否可持续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供应链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毛利率提升至 42%+</w:t>
            </w:r>
          </w:p>
        </w:tc>
      </w:tr>
      <w:tr>
        <w:tc>
          <w:tcPr>
            <w:tcW w:type="dxa" w:w="51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若成本压缩空间小，考虑提价 5%—8% 或减配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产品部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维持毛利贡献</w:t>
            </w:r>
          </w:p>
        </w:tc>
      </w:tr>
      <w:tr>
        <w:tc>
          <w:tcPr>
            <w:tcW w:type="dxa" w:w="51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减少产品 C 的低毛利订单，聚焦高价值客户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销售部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优化订单结构</w:t>
            </w:r>
          </w:p>
        </w:tc>
      </w:tr>
    </w:tbl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方案 4：华东区域诊断（对应 P1-4）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5102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动作项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负责部门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期望效果</w:t>
            </w:r>
          </w:p>
        </w:tc>
      </w:tr>
      <w:tr>
        <w:tc>
          <w:tcPr>
            <w:tcW w:type="dxa" w:w="51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华东销量最高但毛利率最低，排查价格让利与成本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销售部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找到毛利率偏低原因</w:t>
            </w:r>
          </w:p>
        </w:tc>
      </w:tr>
      <w:tr>
        <w:tc>
          <w:tcPr>
            <w:tcW w:type="dxa" w:w="51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是否存在区域差异化定价或大客户折扣过深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财务部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调整定价策略</w:t>
            </w:r>
          </w:p>
        </w:tc>
      </w:tr>
      <w:tr>
        <w:tc>
          <w:tcPr>
            <w:tcW w:type="dxa" w:w="51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参考华南模式（低销量高毛利）优化产品组合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销售部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毛利率回升至 42%+</w:t>
            </w:r>
          </w:p>
        </w:tc>
      </w:tr>
    </w:tbl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方案 5：西北品类多元化（对应 P1-5）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5102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动作项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负责部门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期望效果</w:t>
            </w:r>
          </w:p>
        </w:tc>
      </w:tr>
      <w:tr>
        <w:tc>
          <w:tcPr>
            <w:tcW w:type="dxa" w:w="51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西北过度依赖产品 B（35.1%），提升产品 A、C 占比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销售部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品类结构均衡化</w:t>
            </w:r>
          </w:p>
        </w:tc>
      </w:tr>
      <w:tr>
        <w:tc>
          <w:tcPr>
            <w:tcW w:type="dxa" w:w="51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A 在西北仅 2.12 万，投放专项推广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市场部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寻找增量</w:t>
            </w:r>
          </w:p>
        </w:tc>
      </w:tr>
      <w:tr>
        <w:tc>
          <w:tcPr>
            <w:tcW w:type="dxa" w:w="51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测试产品 A 在西北的市场潜力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销售部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提升西北毛利率</w:t>
            </w:r>
          </w:p>
        </w:tc>
      </w:tr>
    </w:tbl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方案 6：数据治理（对应 P2-6）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5102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动作项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负责部门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期望效果</w:t>
            </w:r>
          </w:p>
        </w:tc>
      </w:tr>
      <w:tr>
        <w:tc>
          <w:tcPr>
            <w:tcW w:type="dxa" w:w="51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补全 16 行缺失的成本/利润数据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财务部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数据完整率 100%</w:t>
            </w:r>
          </w:p>
        </w:tc>
      </w:tr>
      <w:tr>
        <w:tc>
          <w:tcPr>
            <w:tcW w:type="dxa" w:w="51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建立数据录入校验规则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IT 部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防止再发</w:t>
            </w:r>
          </w:p>
        </w:tc>
      </w:tr>
      <w:tr>
        <w:tc>
          <w:tcPr>
            <w:tcW w:type="dxa" w:w="51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重点核查 1—3 月西南/华东缺失源头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财务部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找到系统性问题</w:t>
            </w:r>
          </w:p>
        </w:tc>
      </w:tr>
    </w:tbl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方案 7：产品 A 稳定运营（对应 P2-7）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5102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动作项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负责部门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期望效果</w:t>
            </w:r>
          </w:p>
        </w:tc>
      </w:tr>
      <w:tr>
        <w:tc>
          <w:tcPr>
            <w:tcW w:type="dxa" w:w="51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A 月度波动剧烈，制定月度滚动目标与库存策略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供应链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防止断货/积压</w:t>
            </w:r>
          </w:p>
        </w:tc>
      </w:tr>
      <w:tr>
        <w:tc>
          <w:tcPr>
            <w:tcW w:type="dxa" w:w="51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关注波动背后是促销脉冲还是订单集中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市场部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找到波动驱动</w:t>
            </w:r>
          </w:p>
        </w:tc>
      </w:tr>
      <w:tr>
        <w:tc>
          <w:tcPr>
            <w:tcW w:type="dxa" w:w="51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A 毛利率最优（43.9%），稳定运营提升利润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销售部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贡献更多毛利</w:t>
            </w:r>
          </w:p>
        </w:tc>
      </w:tr>
    </w:tbl>
    <w:p>
      <w:r>
        <w:br w:type="page"/>
      </w:r>
    </w:p>
    <w:p>
      <w:pPr>
        <w:spacing w:before="360" w:after="160"/>
        <w:pBdr>
          <w:left w:val="single" w:sz="24" w:space="4" w:color="1565C0"/>
        </w:pBdr>
      </w:pPr>
      <w:r>
        <w:rPr>
          <w:rFonts w:ascii="微软雅黑" w:hAnsi="微软雅黑" w:eastAsia="微软雅黑"/>
          <w:b/>
          <w:color w:val="1A237E"/>
          <w:sz w:val="28"/>
        </w:rPr>
        <w:t>六、实施计划</w:t>
      </w:r>
    </w:p>
    <w:p>
      <w:pPr>
        <w:spacing w:after="120" w:before="0"/>
      </w:pPr>
      <w:r>
        <w:rPr>
          <w:rFonts w:ascii="微软雅黑" w:hAnsi="微软雅黑" w:eastAsia="微软雅黑"/>
          <w:b w:val="0"/>
          <w:color w:val="212121"/>
          <w:sz w:val="18"/>
        </w:rPr>
        <w:t>按"立即止血 → 1—3 月优化 → 3—6 月固化"三阶段推进。</w:t>
      </w:r>
    </w:p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阶段一：止血与数据治理（第 1—4 周）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814"/>
        <w:gridCol w:w="1814"/>
        <w:gridCol w:w="1814"/>
        <w:gridCol w:w="1814"/>
        <w:gridCol w:w="1814"/>
      </w:tblGrid>
      <w:tr>
        <w:tc>
          <w:tcPr>
            <w:tcW w:type="dxa" w:w="680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序号</w:t>
            </w:r>
          </w:p>
        </w:tc>
        <w:tc>
          <w:tcPr>
            <w:tcW w:type="dxa" w:w="3402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任务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责任方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交付物</w:t>
            </w:r>
          </w:p>
        </w:tc>
        <w:tc>
          <w:tcPr>
            <w:tcW w:type="dxa" w:w="141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时间节点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</w:t>
            </w:r>
          </w:p>
        </w:tc>
        <w:tc>
          <w:tcPr>
            <w:tcW w:type="dxa" w:w="34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补全 16 行缺失成本/利润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财务部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完整数据集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第 1 周</w:t>
            </w:r>
          </w:p>
        </w:tc>
      </w:tr>
      <w:tr>
        <w:tc>
          <w:tcPr>
            <w:tcW w:type="dxa" w:w="68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</w:t>
            </w:r>
          </w:p>
        </w:tc>
        <w:tc>
          <w:tcPr>
            <w:tcW w:type="dxa" w:w="34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4—6 月下滑根因复盘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销售部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复盘报告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第 2 周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3</w:t>
            </w:r>
          </w:p>
        </w:tc>
        <w:tc>
          <w:tcPr>
            <w:tcW w:type="dxa" w:w="34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D 在 4 月下滑根因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市场部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根因报告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第 2 周</w:t>
            </w:r>
          </w:p>
        </w:tc>
      </w:tr>
      <w:tr>
        <w:tc>
          <w:tcPr>
            <w:tcW w:type="dxa" w:w="68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</w:t>
            </w:r>
          </w:p>
        </w:tc>
        <w:tc>
          <w:tcPr>
            <w:tcW w:type="dxa" w:w="34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华东毛利率专项诊断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销售部+财务部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诊断报告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第 3 周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5</w:t>
            </w:r>
          </w:p>
        </w:tc>
        <w:tc>
          <w:tcPr>
            <w:tcW w:type="dxa" w:w="34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Q3 销售冲刺方案定稿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销售部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行动方案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第 4 周</w:t>
            </w:r>
          </w:p>
        </w:tc>
      </w:tr>
    </w:tbl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阶段二：优化与试点（第 5—12 周）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814"/>
        <w:gridCol w:w="1814"/>
        <w:gridCol w:w="1814"/>
        <w:gridCol w:w="1814"/>
        <w:gridCol w:w="1814"/>
      </w:tblGrid>
      <w:tr>
        <w:tc>
          <w:tcPr>
            <w:tcW w:type="dxa" w:w="680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序号</w:t>
            </w:r>
          </w:p>
        </w:tc>
        <w:tc>
          <w:tcPr>
            <w:tcW w:type="dxa" w:w="3402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任务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责任方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交付物</w:t>
            </w:r>
          </w:p>
        </w:tc>
        <w:tc>
          <w:tcPr>
            <w:tcW w:type="dxa" w:w="141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时间节点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6</w:t>
            </w:r>
          </w:p>
        </w:tc>
        <w:tc>
          <w:tcPr>
            <w:tcW w:type="dxa" w:w="34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C 成本/定价优化试点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产品部+供应链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试点结果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第 6 周</w:t>
            </w:r>
          </w:p>
        </w:tc>
      </w:tr>
      <w:tr>
        <w:tc>
          <w:tcPr>
            <w:tcW w:type="dxa" w:w="68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7</w:t>
            </w:r>
          </w:p>
        </w:tc>
        <w:tc>
          <w:tcPr>
            <w:tcW w:type="dxa" w:w="34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西北品类多元化推广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市场部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推广数据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第 8 周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8</w:t>
            </w:r>
          </w:p>
        </w:tc>
        <w:tc>
          <w:tcPr>
            <w:tcW w:type="dxa" w:w="34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Top 20 客户分层运营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销售部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客户档案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第 8 周</w:t>
            </w:r>
          </w:p>
        </w:tc>
      </w:tr>
      <w:tr>
        <w:tc>
          <w:tcPr>
            <w:tcW w:type="dxa" w:w="68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9</w:t>
            </w:r>
          </w:p>
        </w:tc>
        <w:tc>
          <w:tcPr>
            <w:tcW w:type="dxa" w:w="34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A 月度滚动预测机制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供应链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预测模型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第 10 周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10</w:t>
            </w:r>
          </w:p>
        </w:tc>
        <w:tc>
          <w:tcPr>
            <w:tcW w:type="dxa" w:w="34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数据录入校验上线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IT 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系统上线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第 12 周</w:t>
            </w:r>
          </w:p>
        </w:tc>
      </w:tr>
    </w:tbl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阶段三：复盘与固化（第 13—24 周）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814"/>
        <w:gridCol w:w="1814"/>
        <w:gridCol w:w="1814"/>
        <w:gridCol w:w="1814"/>
        <w:gridCol w:w="1814"/>
      </w:tblGrid>
      <w:tr>
        <w:tc>
          <w:tcPr>
            <w:tcW w:type="dxa" w:w="680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序号</w:t>
            </w:r>
          </w:p>
        </w:tc>
        <w:tc>
          <w:tcPr>
            <w:tcW w:type="dxa" w:w="3402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任务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责任方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交付物</w:t>
            </w:r>
          </w:p>
        </w:tc>
        <w:tc>
          <w:tcPr>
            <w:tcW w:type="dxa" w:w="141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时间节点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11</w:t>
            </w:r>
          </w:p>
        </w:tc>
        <w:tc>
          <w:tcPr>
            <w:tcW w:type="dxa" w:w="34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全年 KPI 复盘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销售部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复盘报告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第 16 周</w:t>
            </w:r>
          </w:p>
        </w:tc>
      </w:tr>
      <w:tr>
        <w:tc>
          <w:tcPr>
            <w:tcW w:type="dxa" w:w="68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12</w:t>
            </w:r>
          </w:p>
        </w:tc>
        <w:tc>
          <w:tcPr>
            <w:tcW w:type="dxa" w:w="34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D 毛利率提升至 43%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供应链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财务数据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第 20 周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13</w:t>
            </w:r>
          </w:p>
        </w:tc>
        <w:tc>
          <w:tcPr>
            <w:tcW w:type="dxa" w:w="34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数据看板与监控告警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IT 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看板上线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第 20 周</w:t>
            </w:r>
          </w:p>
        </w:tc>
      </w:tr>
      <w:tr>
        <w:tc>
          <w:tcPr>
            <w:tcW w:type="dxa" w:w="68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14</w:t>
            </w:r>
          </w:p>
        </w:tc>
        <w:tc>
          <w:tcPr>
            <w:tcW w:type="dxa" w:w="3402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区域品类策略差异化落地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市场部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策略包</w:t>
            </w:r>
          </w:p>
        </w:tc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第 24 周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15</w:t>
            </w:r>
          </w:p>
        </w:tc>
        <w:tc>
          <w:tcPr>
            <w:tcW w:type="dxa" w:w="3402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销售分析报告季度化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销售部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季度报告</w:t>
            </w:r>
          </w:p>
        </w:tc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第 24 周</w:t>
            </w:r>
          </w:p>
        </w:tc>
      </w:tr>
    </w:tbl>
    <w:p>
      <w:r>
        <w:br w:type="page"/>
      </w:r>
    </w:p>
    <w:p>
      <w:pPr>
        <w:spacing w:before="360" w:after="160"/>
        <w:pBdr>
          <w:left w:val="single" w:sz="24" w:space="4" w:color="1565C0"/>
        </w:pBdr>
      </w:pPr>
      <w:r>
        <w:rPr>
          <w:rFonts w:ascii="微软雅黑" w:hAnsi="微软雅黑" w:eastAsia="微软雅黑"/>
          <w:b/>
          <w:color w:val="1A237E"/>
          <w:sz w:val="28"/>
        </w:rPr>
        <w:t>七、附录</w:t>
      </w:r>
    </w:p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附录 A：TOP 10 大单（按销售额）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814"/>
        <w:gridCol w:w="1814"/>
        <w:gridCol w:w="1814"/>
        <w:gridCol w:w="1814"/>
        <w:gridCol w:w="1814"/>
      </w:tblGrid>
      <w:tr>
        <w:tc>
          <w:tcPr>
            <w:tcW w:type="dxa" w:w="1417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日期</w:t>
            </w:r>
          </w:p>
        </w:tc>
        <w:tc>
          <w:tcPr>
            <w:tcW w:type="dxa" w:w="1020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地区</w:t>
            </w:r>
          </w:p>
        </w:tc>
        <w:tc>
          <w:tcPr>
            <w:tcW w:type="dxa" w:w="113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产品</w:t>
            </w:r>
          </w:p>
        </w:tc>
        <w:tc>
          <w:tcPr>
            <w:tcW w:type="dxa" w:w="198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销售额（元）</w:t>
            </w:r>
          </w:p>
        </w:tc>
        <w:tc>
          <w:tcPr>
            <w:tcW w:type="dxa" w:w="1134"/>
            <w:shd w:fill="1565C0" w:val="clear"/>
          </w:tcPr>
          <w:p>
            <w:pPr>
              <w:jc w:val="left"/>
            </w:pPr>
            <w:r/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数量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2025-04-22</w:t>
            </w:r>
          </w:p>
        </w:tc>
        <w:tc>
          <w:tcPr>
            <w:tcW w:type="dxa" w:w="102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华北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D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9,881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187</w:t>
            </w:r>
          </w:p>
        </w:tc>
      </w:tr>
      <w:tr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2025-02-17</w:t>
            </w:r>
          </w:p>
        </w:tc>
        <w:tc>
          <w:tcPr>
            <w:tcW w:type="dxa" w:w="102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西北</w:t>
            </w:r>
          </w:p>
        </w:tc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D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8,367</w:t>
            </w:r>
          </w:p>
        </w:tc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59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2025-04-28</w:t>
            </w:r>
          </w:p>
        </w:tc>
        <w:tc>
          <w:tcPr>
            <w:tcW w:type="dxa" w:w="102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华北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A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8,037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14</w:t>
            </w:r>
          </w:p>
        </w:tc>
      </w:tr>
      <w:tr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2025-03-30</w:t>
            </w:r>
          </w:p>
        </w:tc>
        <w:tc>
          <w:tcPr>
            <w:tcW w:type="dxa" w:w="102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西南</w:t>
            </w:r>
          </w:p>
        </w:tc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D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7,927</w:t>
            </w:r>
          </w:p>
        </w:tc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43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2025-03-04</w:t>
            </w:r>
          </w:p>
        </w:tc>
        <w:tc>
          <w:tcPr>
            <w:tcW w:type="dxa" w:w="102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西北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D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7,900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175</w:t>
            </w:r>
          </w:p>
        </w:tc>
      </w:tr>
      <w:tr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2025-02-19</w:t>
            </w:r>
          </w:p>
        </w:tc>
        <w:tc>
          <w:tcPr>
            <w:tcW w:type="dxa" w:w="102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西南</w:t>
            </w:r>
          </w:p>
        </w:tc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B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7,885</w:t>
            </w:r>
          </w:p>
        </w:tc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63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2025-01-17</w:t>
            </w:r>
          </w:p>
        </w:tc>
        <w:tc>
          <w:tcPr>
            <w:tcW w:type="dxa" w:w="102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西南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D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7,834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104</w:t>
            </w:r>
          </w:p>
        </w:tc>
      </w:tr>
      <w:tr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2025-05-05</w:t>
            </w:r>
          </w:p>
        </w:tc>
        <w:tc>
          <w:tcPr>
            <w:tcW w:type="dxa" w:w="102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华东</w:t>
            </w:r>
          </w:p>
        </w:tc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B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7,720</w:t>
            </w:r>
          </w:p>
        </w:tc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10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2025-03-11</w:t>
            </w:r>
          </w:p>
        </w:tc>
        <w:tc>
          <w:tcPr>
            <w:tcW w:type="dxa" w:w="1020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西南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D</w:t>
            </w:r>
          </w:p>
        </w:tc>
        <w:tc>
          <w:tcPr>
            <w:tcW w:type="dxa" w:w="198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7,713</w:t>
            </w:r>
          </w:p>
        </w:tc>
        <w:tc>
          <w:tcPr>
            <w:tcW w:type="dxa" w:w="1134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100</w:t>
            </w:r>
          </w:p>
        </w:tc>
      </w:tr>
      <w:tr>
        <w:tc>
          <w:tcPr>
            <w:tcW w:type="dxa" w:w="1417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2025-01-06</w:t>
            </w:r>
          </w:p>
        </w:tc>
        <w:tc>
          <w:tcPr>
            <w:tcW w:type="dxa" w:w="1020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华南</w:t>
            </w:r>
          </w:p>
        </w:tc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产品 D</w:t>
            </w:r>
          </w:p>
        </w:tc>
        <w:tc>
          <w:tcPr>
            <w:tcW w:type="dxa" w:w="198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7,668</w:t>
            </w:r>
          </w:p>
        </w:tc>
        <w:tc>
          <w:tcPr>
            <w:tcW w:type="dxa" w:w="1134"/>
            <w:shd w:fill="F5F7FA" w:val="clear"/>
          </w:tcPr>
          <w:p>
            <w:r/>
            <w:r>
              <w:rPr>
                <w:rFonts w:ascii="微软雅黑" w:hAnsi="微软雅黑" w:eastAsia="微软雅黑"/>
                <w:color w:val="212121"/>
                <w:sz w:val="16"/>
              </w:rPr>
              <w:t>68</w:t>
            </w:r>
          </w:p>
        </w:tc>
      </w:tr>
    </w:tbl>
    <w:p>
      <w:pPr>
        <w:spacing w:before="240" w:after="120"/>
      </w:pPr>
      <w:r>
        <w:rPr>
          <w:rFonts w:ascii="微软雅黑" w:hAnsi="微软雅黑" w:eastAsia="微软雅黑"/>
          <w:b/>
          <w:color w:val="1565C0"/>
          <w:sz w:val="22"/>
        </w:rPr>
        <w:t>附录 B：数据口径说明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销售额：订单实际成交金额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销量：订单成交数量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毛利率 = 利润 / 销售额 × 100%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平均订单金额 = 销售额 / 订单数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件均价 = 销售额 / 销量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缺失成本/利润的 16 行不参与毛利率与利润统计</w:t>
      </w:r>
    </w:p>
    <w:p>
      <w:pPr>
        <w:spacing w:after="40"/>
        <w:ind w:left="283"/>
      </w:pPr>
      <w:r>
        <w:rPr>
          <w:rFonts w:ascii="微软雅黑" w:hAnsi="微软雅黑" w:eastAsia="微软雅黑"/>
          <w:b/>
          <w:color w:val="1565C0"/>
          <w:sz w:val="18"/>
        </w:rPr>
        <w:t xml:space="preserve">• </w:t>
      </w:r>
      <w:r>
        <w:rPr>
          <w:rFonts w:ascii="微软雅黑" w:hAnsi="微软雅黑" w:eastAsia="微软雅黑"/>
          <w:color w:val="212121"/>
          <w:sz w:val="18"/>
        </w:rPr>
        <w:t>7 月数据截至 7 月 19 日，未完月，环比仅供参考</w:t>
      </w:r>
    </w:p>
    <w:p>
      <w:pPr>
        <w:spacing w:after="120" w:before="0"/>
      </w:pPr>
    </w:p>
    <w:p>
      <w:pPr>
        <w:spacing w:after="120" w:before="400"/>
        <w:jc w:val="center"/>
      </w:pPr>
      <w:r>
        <w:rPr>
          <w:rFonts w:ascii="微软雅黑" w:hAnsi="微软雅黑" w:eastAsia="微软雅黑"/>
          <w:b/>
          <w:color w:val="1565C0"/>
          <w:sz w:val="20"/>
        </w:rPr>
        <w:t>— 报告结束 —</w:t>
      </w:r>
    </w:p>
    <w:p>
      <w:pPr>
        <w:spacing w:after="120" w:before="0"/>
        <w:jc w:val="center"/>
      </w:pPr>
      <w:r>
        <w:rPr>
          <w:rFonts w:ascii="微软雅黑" w:hAnsi="微软雅黑" w:eastAsia="微软雅黑"/>
          <w:b w:val="0"/>
          <w:color w:val="616161"/>
          <w:sz w:val="16"/>
        </w:rPr>
        <w:t>本报告由 AI 辅助生成，基于销售数据.xlsx 实际数据；分析结论与建议仅供参考，具体决策请结合业务实际。</w:t>
      </w:r>
    </w:p>
    <w:sectPr w:rsidR="00FC693F" w:rsidRPr="0006063C" w:rsidSect="0003461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color w:val="212121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